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ED" w:rsidRPr="0049677B"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Приложение № 9</w:t>
      </w:r>
    </w:p>
    <w:p w:rsidR="00B41AED" w:rsidRP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 xml:space="preserve">к Регламенту оказания услуг на финансовых рынках </w:t>
      </w:r>
    </w:p>
    <w:p w:rsid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ПАО «Бест Эффортс Банк»</w:t>
      </w:r>
    </w:p>
    <w:p w:rsidR="00012458" w:rsidRPr="00B41AED" w:rsidRDefault="00012458"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ind w:firstLine="249"/>
        <w:jc w:val="center"/>
        <w:rPr>
          <w:rFonts w:ascii="Times New Roman" w:hAnsi="Times New Roman"/>
          <w:b/>
        </w:rPr>
      </w:pPr>
      <w:r>
        <w:rPr>
          <w:rFonts w:ascii="Times New Roman" w:hAnsi="Times New Roman"/>
          <w:b/>
        </w:rPr>
        <w:t xml:space="preserve">Декларация об общих рисках, связанных с осуществлением операций на рынке ценных бумаг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012458" w:rsidRDefault="00012458" w:rsidP="007C4CEA">
      <w:pPr>
        <w:spacing w:after="0" w:line="240" w:lineRule="auto"/>
        <w:ind w:firstLine="375"/>
        <w:jc w:val="both"/>
        <w:rPr>
          <w:rFonts w:ascii="Times New Roman" w:hAnsi="Times New Roman"/>
        </w:rPr>
      </w:pPr>
      <w:r>
        <w:rPr>
          <w:rFonts w:ascii="Times New Roman" w:hAnsi="Times New Roman"/>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xml:space="preserve">. Системный риск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Pr>
          <w:rFonts w:ascii="Times New Roman" w:hAnsi="Times New Roman"/>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Pr>
          <w:rFonts w:ascii="Times New Roman" w:hAnsi="Times New Roman"/>
        </w:rPr>
        <w:t>может</w:t>
      </w:r>
      <w:proofErr w:type="gramEnd"/>
      <w:r>
        <w:rPr>
          <w:rFonts w:ascii="Times New Roman" w:hAnsi="Times New Roman"/>
        </w:rPr>
        <w:t xml:space="preserve"> как расти, так и снижаться, и ее рост в прошлом не означает ее роста в будущем.</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Следует специально обратить внимание на следующие рыночные риски: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Валютный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012458" w:rsidRDefault="00F8548D" w:rsidP="007C4CEA">
      <w:pPr>
        <w:spacing w:after="0" w:line="240" w:lineRule="auto"/>
        <w:ind w:firstLine="375"/>
        <w:jc w:val="both"/>
        <w:rPr>
          <w:rFonts w:ascii="Times New Roman" w:hAnsi="Times New Roman"/>
        </w:rPr>
      </w:pPr>
      <w:r>
        <w:rPr>
          <w:rFonts w:ascii="Times New Roman" w:hAnsi="Times New Roman"/>
        </w:rPr>
        <w:t xml:space="preserve">  </w:t>
      </w:r>
    </w:p>
    <w:p w:rsidR="00012458" w:rsidRDefault="00012458" w:rsidP="007C4CEA">
      <w:pPr>
        <w:spacing w:after="0" w:line="240" w:lineRule="auto"/>
        <w:ind w:firstLine="375"/>
        <w:jc w:val="both"/>
        <w:rPr>
          <w:rFonts w:ascii="Times New Roman" w:hAnsi="Times New Roman"/>
        </w:rPr>
      </w:pPr>
      <w:r>
        <w:rPr>
          <w:rFonts w:ascii="Times New Roman" w:hAnsi="Times New Roman"/>
        </w:rPr>
        <w:t>2. Процентный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банкротства эмитента акций</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резком падении цены акций акционерного общества, признанного несостоятельным, или в предвидении такой несостоятельности.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IV</w:t>
      </w:r>
      <w:r>
        <w:rPr>
          <w:rFonts w:ascii="Times New Roman" w:hAnsi="Times New Roman"/>
        </w:rPr>
        <w:t>. Кредитный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12458" w:rsidRDefault="00012458" w:rsidP="007C4CEA">
      <w:pPr>
        <w:spacing w:after="0" w:line="240" w:lineRule="auto"/>
        <w:ind w:firstLine="375"/>
        <w:jc w:val="both"/>
        <w:rPr>
          <w:rFonts w:ascii="Times New Roman" w:hAnsi="Times New Roman"/>
        </w:rPr>
      </w:pPr>
      <w:r>
        <w:rPr>
          <w:rFonts w:ascii="Times New Roman" w:hAnsi="Times New Roman"/>
        </w:rPr>
        <w:t>К числу кредитных рисков относятся следующие риски: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Риск дефолта по облигациям и иным долговым ценным бумагам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2. Риск контрагента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012458" w:rsidRDefault="00012458" w:rsidP="007C4CEA">
      <w:pPr>
        <w:spacing w:after="0" w:line="240" w:lineRule="auto"/>
        <w:ind w:firstLine="375"/>
        <w:jc w:val="both"/>
        <w:rPr>
          <w:rFonts w:ascii="Times New Roman" w:hAnsi="Times New Roman"/>
        </w:rPr>
      </w:pPr>
      <w:r>
        <w:rPr>
          <w:rFonts w:ascii="Times New Roman" w:hAnsi="Times New Roman"/>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Pr>
          <w:rFonts w:ascii="Times New Roman" w:hAnsi="Times New Roman"/>
        </w:rPr>
        <w:t>ств тр</w:t>
      </w:r>
      <w:proofErr w:type="gramEnd"/>
      <w:r>
        <w:rPr>
          <w:rFonts w:ascii="Times New Roman" w:hAnsi="Times New Roman"/>
        </w:rPr>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неисполнения обязательств перед вами вашим брокером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неисполнения вашим брокером некоторых обязательств перед вами является видом риска контрагента.</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Pr>
          <w:rFonts w:ascii="Times New Roman" w:hAnsi="Times New Roman"/>
        </w:rPr>
        <w:t>связи</w:t>
      </w:r>
      <w:proofErr w:type="gramEnd"/>
      <w:r>
        <w:rPr>
          <w:rFonts w:ascii="Times New Roman" w:hAnsi="Times New Roman"/>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012458" w:rsidRDefault="00012458" w:rsidP="007C4CEA">
      <w:pPr>
        <w:spacing w:after="0" w:line="240" w:lineRule="auto"/>
        <w:ind w:firstLine="375"/>
        <w:jc w:val="both"/>
        <w:rPr>
          <w:rFonts w:ascii="Times New Roman" w:hAnsi="Times New Roman"/>
        </w:rPr>
      </w:pPr>
      <w:r>
        <w:rPr>
          <w:rFonts w:ascii="Times New Roman" w:hAnsi="Times New Roman"/>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Ваш брокер является членом НАУФОР, </w:t>
      </w:r>
      <w:proofErr w:type="gramStart"/>
      <w:r>
        <w:rPr>
          <w:rFonts w:ascii="Times New Roman" w:hAnsi="Times New Roman"/>
        </w:rPr>
        <w:t>к</w:t>
      </w:r>
      <w:proofErr w:type="gramEnd"/>
      <w:r>
        <w:rPr>
          <w:rFonts w:ascii="Times New Roman" w:hAnsi="Times New Roman"/>
        </w:rPr>
        <w:t xml:space="preserve"> которой вы можете обратиться в случае нарушения ваших прав и интересов. Государственное регулирование и надзор в отношении деятельности </w:t>
      </w:r>
      <w:r>
        <w:rPr>
          <w:rFonts w:ascii="Times New Roman" w:hAnsi="Times New Roman"/>
        </w:rPr>
        <w:lastRenderedPageBreak/>
        <w:t>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w:t>
      </w:r>
      <w:r>
        <w:rPr>
          <w:rFonts w:ascii="Times New Roman" w:hAnsi="Times New Roman"/>
        </w:rPr>
        <w:t>. Правовой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r>
        <w:rPr>
          <w:rFonts w:ascii="Times New Roman" w:hAnsi="Times New Roman"/>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VI</w:t>
      </w:r>
      <w:r>
        <w:rPr>
          <w:rFonts w:ascii="Times New Roman" w:hAnsi="Times New Roman"/>
        </w:rPr>
        <w:t>. Операционный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after="0" w:line="240" w:lineRule="auto"/>
        <w:ind w:firstLine="375"/>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jc w:val="center"/>
        <w:rPr>
          <w:rFonts w:ascii="Times New Roman" w:hAnsi="Times New Roman"/>
          <w:b/>
        </w:rPr>
      </w:pPr>
      <w:r>
        <w:rPr>
          <w:rFonts w:ascii="Times New Roman" w:hAnsi="Times New Roman"/>
          <w:b/>
        </w:rPr>
        <w:lastRenderedPageBreak/>
        <w:t>Декларация о рисках, связанных с совершением</w:t>
      </w:r>
    </w:p>
    <w:p w:rsidR="00012458" w:rsidRDefault="00012458" w:rsidP="007C4CEA">
      <w:pPr>
        <w:spacing w:after="0" w:line="240" w:lineRule="auto"/>
        <w:jc w:val="center"/>
        <w:rPr>
          <w:rFonts w:ascii="Times New Roman" w:hAnsi="Times New Roman"/>
          <w:b/>
        </w:rPr>
      </w:pPr>
      <w:r>
        <w:rPr>
          <w:rFonts w:ascii="Times New Roman" w:hAnsi="Times New Roman"/>
          <w:b/>
        </w:rPr>
        <w:t xml:space="preserve">маржинальных и непокрытых сделок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0" w:line="240" w:lineRule="auto"/>
        <w:jc w:val="both"/>
        <w:rPr>
          <w:rFonts w:ascii="Times New Roman" w:hAnsi="Times New Roman"/>
          <w:b/>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012458" w:rsidRDefault="00012458" w:rsidP="007C4CEA">
      <w:pPr>
        <w:spacing w:after="0" w:line="240" w:lineRule="auto"/>
        <w:ind w:firstLine="375"/>
        <w:jc w:val="both"/>
        <w:rPr>
          <w:rFonts w:ascii="Times New Roman" w:hAnsi="Times New Roman"/>
        </w:rPr>
      </w:pPr>
      <w:r>
        <w:rPr>
          <w:rFonts w:ascii="Times New Roman" w:hAnsi="Times New Roman"/>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Pr>
          <w:rFonts w:ascii="Times New Roman" w:hAnsi="Times New Roman"/>
        </w:rPr>
        <w:t>ств кл</w:t>
      </w:r>
      <w:proofErr w:type="gramEnd"/>
      <w:r>
        <w:rPr>
          <w:rFonts w:ascii="Times New Roman" w:hAnsi="Times New Roman"/>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Pr>
          <w:rFonts w:ascii="Times New Roman" w:hAnsi="Times New Roman"/>
        </w:rPr>
        <w:t>менее</w:t>
      </w:r>
      <w:proofErr w:type="gramEnd"/>
      <w:r>
        <w:rPr>
          <w:rFonts w:ascii="Times New Roman" w:hAnsi="Times New Roman"/>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Pr>
          <w:rFonts w:ascii="Times New Roman" w:hAnsi="Times New Roman"/>
        </w:rPr>
        <w:t xml:space="preserve"> При этом</w:t>
      </w:r>
      <w:proofErr w:type="gramStart"/>
      <w:r>
        <w:rPr>
          <w:rFonts w:ascii="Times New Roman" w:hAnsi="Times New Roman"/>
        </w:rPr>
        <w:t>,</w:t>
      </w:r>
      <w:proofErr w:type="gramEnd"/>
      <w:r>
        <w:rPr>
          <w:rFonts w:ascii="Times New Roman" w:hAnsi="Times New Roman"/>
        </w:rPr>
        <w:t xml:space="preserve"> в случае если непокрытая позиция возникла или увеличилась в </w:t>
      </w:r>
      <w:proofErr w:type="gramStart"/>
      <w:r>
        <w:rPr>
          <w:rFonts w:ascii="Times New Roman" w:hAnsi="Times New Roman"/>
        </w:rPr>
        <w:t>результате</w:t>
      </w:r>
      <w:proofErr w:type="gramEnd"/>
      <w:r>
        <w:rPr>
          <w:rFonts w:ascii="Times New Roman" w:hAnsi="Times New Roman"/>
        </w:rPr>
        <w:t xml:space="preserve">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w:t>
      </w:r>
      <w:r>
        <w:rPr>
          <w:rFonts w:ascii="Times New Roman" w:hAnsi="Times New Roman"/>
        </w:rPr>
        <w:lastRenderedPageBreak/>
        <w:t xml:space="preserve">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928C6" w:rsidRDefault="003928C6" w:rsidP="007C4CEA">
      <w:pPr>
        <w:spacing w:after="0" w:line="240" w:lineRule="auto"/>
        <w:ind w:firstLine="375"/>
        <w:jc w:val="both"/>
        <w:rPr>
          <w:rFonts w:ascii="Times New Roman" w:hAnsi="Times New Roman"/>
        </w:rPr>
      </w:pPr>
    </w:p>
    <w:p w:rsidR="003928C6" w:rsidRPr="00313232" w:rsidRDefault="003928C6" w:rsidP="007C4CEA">
      <w:pPr>
        <w:spacing w:after="0" w:line="240" w:lineRule="auto"/>
        <w:ind w:firstLine="375"/>
        <w:jc w:val="both"/>
        <w:rPr>
          <w:rFonts w:ascii="Times New Roman" w:hAnsi="Times New Roman"/>
        </w:rPr>
      </w:pPr>
      <w:r>
        <w:rPr>
          <w:rFonts w:ascii="Times New Roman" w:hAnsi="Times New Roman"/>
          <w:lang w:val="en-US"/>
        </w:rPr>
        <w:t>III</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w:t>
      </w: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012458" w:rsidRDefault="00012458" w:rsidP="007C4CEA">
      <w:pPr>
        <w:spacing w:after="100" w:afterAutospacing="1" w:line="240" w:lineRule="auto"/>
        <w:jc w:val="center"/>
        <w:rPr>
          <w:rFonts w:ascii="Times New Roman" w:hAnsi="Times New Roman"/>
          <w:b/>
        </w:rPr>
      </w:pPr>
      <w:r>
        <w:rPr>
          <w:rFonts w:ascii="Times New Roman" w:hAnsi="Times New Roman"/>
          <w:b/>
        </w:rPr>
        <w:t>Декларация о рисках, связанных с производными финансовыми инструментами</w:t>
      </w:r>
      <w:r w:rsidR="00A34862">
        <w:rPr>
          <w:rFonts w:ascii="Times New Roman" w:hAnsi="Times New Roman"/>
          <w:b/>
        </w:rPr>
        <w:t>,</w:t>
      </w:r>
      <w:r>
        <w:rPr>
          <w:rFonts w:ascii="Times New Roman" w:hAnsi="Times New Roman"/>
          <w:b/>
        </w:rPr>
        <w:t xml:space="preserve">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производными финансовыми инструментами.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Pr>
          <w:rFonts w:ascii="Times New Roman" w:hAnsi="Times New Roman"/>
        </w:rPr>
        <w:t>бо́льшим</w:t>
      </w:r>
      <w:proofErr w:type="spellEnd"/>
      <w:r>
        <w:rPr>
          <w:rFonts w:ascii="Times New Roman" w:hAnsi="Times New Roman"/>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spacing w:after="0" w:line="240" w:lineRule="auto"/>
        <w:ind w:firstLine="375"/>
        <w:jc w:val="both"/>
        <w:rPr>
          <w:rFonts w:ascii="Times New Roman" w:hAnsi="Times New Roman"/>
        </w:rPr>
      </w:pPr>
      <w:r>
        <w:rPr>
          <w:rFonts w:ascii="Times New Roman" w:hAnsi="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12458" w:rsidRDefault="00012458" w:rsidP="007C4CEA">
      <w:pPr>
        <w:spacing w:after="0" w:line="240" w:lineRule="auto"/>
        <w:ind w:firstLine="375"/>
        <w:jc w:val="both"/>
        <w:rPr>
          <w:rFonts w:ascii="Times New Roman" w:hAnsi="Times New Roman"/>
        </w:rPr>
      </w:pPr>
      <w:r>
        <w:rPr>
          <w:rFonts w:ascii="Times New Roman" w:hAnsi="Times New Roman"/>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xml:space="preserve">. Риск ликвидности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766B73" w:rsidRDefault="00766B73" w:rsidP="00A34862">
      <w:pPr>
        <w:ind w:firstLine="250"/>
        <w:jc w:val="both"/>
        <w:rPr>
          <w:rFonts w:ascii="Times New Roman" w:hAnsi="Times New Roman"/>
          <w:color w:val="FF0000"/>
        </w:rPr>
      </w:pPr>
    </w:p>
    <w:p w:rsidR="00535BD6" w:rsidRPr="00313232" w:rsidRDefault="00535BD6" w:rsidP="00535BD6">
      <w:pPr>
        <w:ind w:firstLine="250"/>
        <w:jc w:val="both"/>
        <w:rPr>
          <w:rFonts w:ascii="Times New Roman" w:hAnsi="Times New Roman"/>
        </w:rPr>
      </w:pPr>
      <w:r w:rsidRPr="00313232">
        <w:rPr>
          <w:rFonts w:ascii="Times New Roman" w:hAnsi="Times New Roman"/>
          <w:lang w:val="en-US"/>
        </w:rPr>
        <w:t>III</w:t>
      </w:r>
      <w:r w:rsidRPr="00313232">
        <w:rPr>
          <w:rFonts w:ascii="Times New Roman" w:hAnsi="Times New Roman"/>
        </w:rPr>
        <w:t>. Правовые риски</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Торговля производными финансовыми инструментами на иностранных срочных рынках регулируется законодательством иностранных государств. В частности, для торговли некоторыми производными финансовыми инструментами в отдельных иностранных государствах необходимо являться квалифицированным инвестором. Определение квалифицированного инвестора, а также последствия квалификации (отсутствия квалификации) отличаются в разных странах. В основном, банки, страховые и инвестиционные компании признаются квалифицированными инвесторами в силу закона.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Торговля производными финансовыми инструментами на иностранных срочных рынках подходит не для всех инвесторов и сопряжена со значительными рисками убытков.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Вы должны отдавать себе отчет, что торгуя производными финансовыми инструментами на иностранных срочных рынках, Вы можете, как соответствовать </w:t>
      </w:r>
      <w:r w:rsidR="00F8548D" w:rsidRPr="00313232">
        <w:rPr>
          <w:rFonts w:ascii="Times New Roman" w:hAnsi="Times New Roman"/>
        </w:rPr>
        <w:t xml:space="preserve">или </w:t>
      </w:r>
      <w:r w:rsidRPr="00313232">
        <w:rPr>
          <w:rFonts w:ascii="Times New Roman" w:hAnsi="Times New Roman"/>
        </w:rPr>
        <w:t xml:space="preserve">признаваться, так и не соответствовать </w:t>
      </w:r>
      <w:r w:rsidR="00F8548D" w:rsidRPr="00313232">
        <w:rPr>
          <w:rFonts w:ascii="Times New Roman" w:hAnsi="Times New Roman"/>
        </w:rPr>
        <w:t xml:space="preserve">или не </w:t>
      </w:r>
      <w:r w:rsidRPr="00313232">
        <w:rPr>
          <w:rFonts w:ascii="Times New Roman" w:hAnsi="Times New Roman"/>
        </w:rPr>
        <w:t xml:space="preserve">признаваться </w:t>
      </w:r>
      <w:r w:rsidR="00F8548D" w:rsidRPr="00313232">
        <w:rPr>
          <w:rFonts w:ascii="Times New Roman" w:hAnsi="Times New Roman"/>
        </w:rPr>
        <w:t>соответствующим</w:t>
      </w:r>
      <w:r w:rsidRPr="00313232">
        <w:rPr>
          <w:rFonts w:ascii="Times New Roman" w:hAnsi="Times New Roman"/>
        </w:rPr>
        <w:t> критериям, установленным для квалифицированных инвесторов для целей иностранного законодательства, что может существенно ограничить Ваше право на судебную защиту в иностранных государствах.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Кроме того, при операциях производными финансовыми инструментами на иностранных срочных рынках Вы в большинстве случаев не сможете полагаться на защиту своих прав и законных интересов российскими уполномоченными органами и Вам может потребоваться обратиться в зарубежные судебные и правоохранительные органы по установленным правилам, которые могут существенно отличаться </w:t>
      </w:r>
      <w:proofErr w:type="gramStart"/>
      <w:r w:rsidRPr="00313232">
        <w:rPr>
          <w:rFonts w:ascii="Times New Roman" w:hAnsi="Times New Roman"/>
        </w:rPr>
        <w:t>от</w:t>
      </w:r>
      <w:proofErr w:type="gramEnd"/>
      <w:r w:rsidRPr="00313232">
        <w:rPr>
          <w:rFonts w:ascii="Times New Roman" w:hAnsi="Times New Roman"/>
        </w:rPr>
        <w:t xml:space="preserve"> действующих в России.</w:t>
      </w:r>
    </w:p>
    <w:p w:rsidR="00012458" w:rsidRDefault="006D417B" w:rsidP="006D417B">
      <w:pPr>
        <w:spacing w:after="100" w:afterAutospacing="1" w:line="240" w:lineRule="auto"/>
        <w:ind w:firstLine="375"/>
        <w:jc w:val="both"/>
        <w:rPr>
          <w:rFonts w:ascii="Times New Roman" w:hAnsi="Times New Roman"/>
        </w:rPr>
      </w:pPr>
      <w:r w:rsidRPr="006D417B">
        <w:rPr>
          <w:rFonts w:ascii="Times New Roman" w:hAnsi="Times New Roman"/>
          <w:color w:val="FF0000"/>
        </w:rPr>
        <w:t xml:space="preserve"> </w:t>
      </w:r>
      <w:r w:rsidR="00012458">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w:t>
      </w:r>
      <w:r>
        <w:rPr>
          <w:rFonts w:ascii="Times New Roman" w:hAnsi="Times New Roman"/>
        </w:rPr>
        <w:lastRenderedPageBreak/>
        <w:t>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after="100" w:afterAutospacing="1"/>
        <w:jc w:val="both"/>
        <w:rPr>
          <w:rFonts w:ascii="Times New Roman" w:hAnsi="Times New Roman"/>
        </w:rPr>
      </w:pPr>
    </w:p>
    <w:p w:rsidR="0049677B" w:rsidRDefault="0049677B"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bookmarkStart w:id="0" w:name="_GoBack"/>
      <w:bookmarkEnd w:id="0"/>
    </w:p>
    <w:p w:rsidR="00012458" w:rsidRDefault="00012458" w:rsidP="007C4CEA">
      <w:pPr>
        <w:spacing w:after="100" w:afterAutospacing="1"/>
        <w:jc w:val="center"/>
        <w:rPr>
          <w:rFonts w:ascii="Times New Roman" w:hAnsi="Times New Roman"/>
          <w:b/>
        </w:rPr>
      </w:pPr>
      <w:r>
        <w:rPr>
          <w:rFonts w:ascii="Times New Roman" w:hAnsi="Times New Roman"/>
          <w:b/>
        </w:rPr>
        <w:lastRenderedPageBreak/>
        <w:t xml:space="preserve">Декларация о рисках, связанных с приобретением иностранных ценных бумаг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ind w:firstLine="250"/>
        <w:jc w:val="both"/>
        <w:rPr>
          <w:rFonts w:ascii="Times New Roman" w:hAnsi="Times New Roman"/>
        </w:rPr>
      </w:pPr>
      <w:r>
        <w:rPr>
          <w:rFonts w:ascii="Times New Roman" w:hAnsi="Times New Roman"/>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12458" w:rsidRDefault="00012458" w:rsidP="007C4CEA">
      <w:pPr>
        <w:ind w:firstLine="250"/>
        <w:jc w:val="both"/>
        <w:rPr>
          <w:rFonts w:ascii="Times New Roman" w:hAnsi="Times New Roman"/>
        </w:rPr>
      </w:pPr>
      <w:r>
        <w:rPr>
          <w:rFonts w:ascii="Times New Roman" w:hAnsi="Times New Roman"/>
        </w:rPr>
        <w:t>Операциям с иностранными ценными бумагами присущи общие риски, связанные с операциями на рынке ценных бумаг со следующими особенностями.</w:t>
      </w:r>
    </w:p>
    <w:p w:rsidR="00012458" w:rsidRDefault="00012458" w:rsidP="007C4CEA">
      <w:pPr>
        <w:ind w:firstLine="250"/>
        <w:jc w:val="both"/>
        <w:rPr>
          <w:rFonts w:ascii="Times New Roman" w:hAnsi="Times New Roman"/>
        </w:rPr>
      </w:pPr>
      <w:r>
        <w:rPr>
          <w:rFonts w:ascii="Times New Roman" w:hAnsi="Times New Roman"/>
        </w:rPr>
        <w:t>Системные риски</w:t>
      </w:r>
    </w:p>
    <w:p w:rsidR="00012458" w:rsidRDefault="00012458" w:rsidP="007C4CEA">
      <w:pPr>
        <w:ind w:firstLine="250"/>
        <w:jc w:val="both"/>
        <w:rPr>
          <w:rFonts w:ascii="Times New Roman" w:hAnsi="Times New Roman"/>
        </w:rPr>
      </w:pPr>
      <w:r>
        <w:rPr>
          <w:rFonts w:ascii="Times New Roman" w:hAnsi="Times New Roman"/>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иностранной ценной бумаге.</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Pr>
          <w:rFonts w:ascii="Times New Roman" w:hAnsi="Times New Roman"/>
        </w:rPr>
        <w:t>бумаг</w:t>
      </w:r>
      <w:proofErr w:type="gramEnd"/>
      <w:r>
        <w:rPr>
          <w:rFonts w:ascii="Times New Roman" w:hAnsi="Times New Roman"/>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w:t>
      </w:r>
      <w:r>
        <w:rPr>
          <w:rFonts w:ascii="Times New Roman" w:hAnsi="Times New Roman"/>
        </w:rPr>
        <w:lastRenderedPageBreak/>
        <w:t>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7C4CEA">
      <w:pPr>
        <w:spacing w:line="240" w:lineRule="auto"/>
        <w:ind w:left="233" w:hanging="283"/>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after="100" w:afterAutospacing="1"/>
        <w:jc w:val="both"/>
        <w:rPr>
          <w:rFonts w:ascii="Arial" w:eastAsia="Times New Roman" w:hAnsi="Arial" w:cs="Arial"/>
          <w:i/>
          <w:sz w:val="20"/>
          <w:szCs w:val="20"/>
          <w:lang w:eastAsia="ru-RU"/>
        </w:rPr>
      </w:pPr>
    </w:p>
    <w:p w:rsidR="0049677B" w:rsidRDefault="0049677B" w:rsidP="007C4CEA">
      <w:pPr>
        <w:spacing w:after="100" w:afterAutospacing="1"/>
        <w:jc w:val="both"/>
        <w:rPr>
          <w:rFonts w:ascii="Times New Roman" w:hAnsi="Times New Roman"/>
          <w:b/>
        </w:rPr>
      </w:pPr>
    </w:p>
    <w:p w:rsidR="00012458" w:rsidRDefault="00012458" w:rsidP="007C4CEA">
      <w:pPr>
        <w:spacing w:after="100" w:afterAutospacing="1"/>
        <w:jc w:val="center"/>
        <w:rPr>
          <w:rFonts w:ascii="Times New Roman" w:hAnsi="Times New Roman"/>
          <w:b/>
        </w:rPr>
      </w:pPr>
      <w:r>
        <w:rPr>
          <w:rFonts w:ascii="Times New Roman" w:hAnsi="Times New Roman"/>
          <w:b/>
        </w:rPr>
        <w:lastRenderedPageBreak/>
        <w:t xml:space="preserve">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100" w:afterAutospacing="1"/>
        <w:ind w:firstLine="250"/>
        <w:jc w:val="both"/>
        <w:rPr>
          <w:rFonts w:ascii="Times New Roman" w:hAnsi="Times New Roman"/>
        </w:rPr>
      </w:pPr>
      <w:r>
        <w:rPr>
          <w:rFonts w:ascii="Times New Roman" w:hAnsi="Times New Roman"/>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12458" w:rsidRDefault="00012458" w:rsidP="007C4CEA">
      <w:pPr>
        <w:spacing w:after="100" w:afterAutospacing="1"/>
        <w:jc w:val="both"/>
        <w:rPr>
          <w:rFonts w:ascii="Times New Roman" w:hAnsi="Times New Roman"/>
          <w:b/>
        </w:rPr>
      </w:pPr>
      <w:r>
        <w:rPr>
          <w:rFonts w:ascii="Times New Roman" w:hAnsi="Times New Roman"/>
          <w:b/>
        </w:rPr>
        <w:t>Риски, связанные производными финансовыми инструментами</w:t>
      </w:r>
    </w:p>
    <w:p w:rsidR="00012458" w:rsidRDefault="00012458" w:rsidP="007C4CEA">
      <w:pPr>
        <w:ind w:firstLine="250"/>
        <w:jc w:val="both"/>
        <w:rPr>
          <w:rFonts w:ascii="Times New Roman" w:hAnsi="Times New Roman"/>
        </w:rPr>
      </w:pPr>
      <w:r>
        <w:rPr>
          <w:rFonts w:ascii="Times New Roman" w:hAnsi="Times New Roman"/>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ind w:firstLine="250"/>
        <w:jc w:val="both"/>
        <w:rPr>
          <w:rFonts w:ascii="Times New Roman" w:hAnsi="Times New Roman"/>
        </w:rPr>
      </w:pPr>
      <w:r>
        <w:rPr>
          <w:rFonts w:ascii="Times New Roman" w:hAnsi="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012458" w:rsidRDefault="00012458" w:rsidP="007C4CEA">
      <w:pPr>
        <w:ind w:firstLine="250"/>
        <w:jc w:val="both"/>
        <w:rPr>
          <w:rFonts w:ascii="Times New Roman" w:hAnsi="Times New Roman"/>
        </w:rPr>
      </w:pPr>
      <w:r>
        <w:rPr>
          <w:rFonts w:ascii="Times New Roman" w:hAnsi="Times New Roman"/>
        </w:rPr>
        <w:t>Рыночный (ценовой) риск</w:t>
      </w:r>
    </w:p>
    <w:p w:rsidR="00012458" w:rsidRDefault="00012458" w:rsidP="007C4CEA">
      <w:pPr>
        <w:ind w:firstLine="250"/>
        <w:jc w:val="both"/>
        <w:rPr>
          <w:rFonts w:ascii="Times New Roman" w:hAnsi="Times New Roman"/>
        </w:rPr>
      </w:pPr>
      <w:proofErr w:type="gramStart"/>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012458" w:rsidRDefault="00012458" w:rsidP="007C4CEA">
      <w:pPr>
        <w:ind w:firstLine="250"/>
        <w:jc w:val="both"/>
        <w:rPr>
          <w:rFonts w:ascii="Times New Roman" w:hAnsi="Times New Roman"/>
        </w:rPr>
      </w:pPr>
      <w:r>
        <w:rPr>
          <w:rFonts w:ascii="Times New Roman" w:hAnsi="Times New Roman"/>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Риск ликвидности </w:t>
      </w:r>
    </w:p>
    <w:p w:rsidR="00012458" w:rsidRDefault="00012458" w:rsidP="007C4CEA">
      <w:pPr>
        <w:ind w:firstLine="250"/>
        <w:jc w:val="both"/>
        <w:rPr>
          <w:rFonts w:ascii="Times New Roman" w:hAnsi="Times New Roman"/>
        </w:rPr>
      </w:pPr>
      <w:r>
        <w:rPr>
          <w:rFonts w:ascii="Times New Roman" w:hAnsi="Times New Roman"/>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w:t>
      </w:r>
      <w:r>
        <w:rPr>
          <w:rFonts w:ascii="Times New Roman" w:hAnsi="Times New Roman"/>
        </w:rPr>
        <w:lastRenderedPageBreak/>
        <w:t>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ind w:firstLine="250"/>
        <w:jc w:val="both"/>
        <w:rPr>
          <w:rFonts w:ascii="Times New Roman" w:hAnsi="Times New Roman"/>
        </w:rPr>
      </w:pPr>
      <w:r>
        <w:rPr>
          <w:rFonts w:ascii="Times New Roman" w:hAnsi="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ind w:firstLine="250"/>
        <w:jc w:val="both"/>
        <w:rPr>
          <w:rFonts w:ascii="Times New Roman" w:hAnsi="Times New Roman"/>
        </w:rPr>
      </w:pPr>
      <w:r>
        <w:rPr>
          <w:rFonts w:ascii="Times New Roman" w:hAnsi="Times New Roman"/>
        </w:rPr>
        <w:t xml:space="preserve">При этом трудности с закрытием позиций  и потери в цене могут привести к увеличению убытков по сравнению с обычными сделками. </w:t>
      </w:r>
    </w:p>
    <w:p w:rsidR="00012458" w:rsidRDefault="00012458" w:rsidP="007C4CEA">
      <w:pPr>
        <w:ind w:firstLine="250"/>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Ограничение распоряжения средствами, являющимися обеспечением  </w:t>
      </w:r>
    </w:p>
    <w:p w:rsidR="00012458" w:rsidRDefault="00012458" w:rsidP="007C4CEA">
      <w:pPr>
        <w:ind w:firstLine="250"/>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Риск принудительного закрытия позиции</w:t>
      </w:r>
    </w:p>
    <w:p w:rsidR="00012458" w:rsidRDefault="00012458" w:rsidP="007C4CEA">
      <w:pPr>
        <w:ind w:firstLine="250"/>
        <w:jc w:val="both"/>
        <w:rPr>
          <w:rFonts w:ascii="Times New Roman" w:hAnsi="Times New Roman"/>
        </w:rPr>
      </w:pPr>
      <w:r>
        <w:rPr>
          <w:rFonts w:ascii="Times New Roman" w:hAnsi="Times New Roman"/>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ind w:firstLine="250"/>
        <w:jc w:val="both"/>
        <w:rPr>
          <w:rFonts w:ascii="Times New Roman" w:hAnsi="Times New Roman"/>
        </w:rPr>
      </w:pPr>
      <w:r>
        <w:rPr>
          <w:rFonts w:ascii="Times New Roman" w:hAnsi="Times New Roman"/>
        </w:rPr>
        <w:t xml:space="preserve">Принудительное закрытие позиции направлено на управление рисками. Вы можете понести значительные </w:t>
      </w:r>
      <w:proofErr w:type="gramStart"/>
      <w:r>
        <w:rPr>
          <w:rFonts w:ascii="Times New Roman" w:hAnsi="Times New Roman"/>
        </w:rPr>
        <w:t>убытки</w:t>
      </w:r>
      <w:proofErr w:type="gramEnd"/>
      <w:r>
        <w:rPr>
          <w:rFonts w:ascii="Times New Roman" w:hAnsi="Times New Roman"/>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012458" w:rsidRDefault="00012458" w:rsidP="007C4CEA">
      <w:pPr>
        <w:ind w:firstLine="250"/>
        <w:jc w:val="both"/>
        <w:rPr>
          <w:rFonts w:ascii="Times New Roman" w:hAnsi="Times New Roman"/>
          <w:b/>
        </w:rPr>
      </w:pPr>
    </w:p>
    <w:p w:rsidR="00012458" w:rsidRDefault="00012458" w:rsidP="007C4CEA">
      <w:pPr>
        <w:ind w:firstLine="250"/>
        <w:jc w:val="both"/>
        <w:rPr>
          <w:rFonts w:ascii="Times New Roman" w:hAnsi="Times New Roman"/>
          <w:b/>
        </w:rPr>
      </w:pPr>
      <w:r>
        <w:rPr>
          <w:rFonts w:ascii="Times New Roman" w:hAnsi="Times New Roman"/>
          <w:b/>
        </w:rPr>
        <w:t>Риски, обусловленные иностранным происхождением базисного актива</w:t>
      </w:r>
    </w:p>
    <w:p w:rsidR="00012458" w:rsidRDefault="00012458" w:rsidP="007C4CEA">
      <w:pPr>
        <w:spacing w:after="100" w:afterAutospacing="1"/>
        <w:ind w:firstLine="250"/>
        <w:jc w:val="both"/>
        <w:rPr>
          <w:rFonts w:ascii="Times New Roman" w:hAnsi="Times New Roman"/>
        </w:rPr>
      </w:pPr>
      <w:r>
        <w:rPr>
          <w:rFonts w:ascii="Times New Roman" w:hAnsi="Times New Roman"/>
        </w:rPr>
        <w:t>Системные риски</w:t>
      </w:r>
    </w:p>
    <w:p w:rsidR="00012458" w:rsidRDefault="00012458" w:rsidP="007C4CEA">
      <w:pPr>
        <w:spacing w:after="100" w:afterAutospacing="1"/>
        <w:ind w:firstLine="250"/>
        <w:jc w:val="both"/>
        <w:rPr>
          <w:rFonts w:ascii="Times New Roman" w:hAnsi="Times New Roman"/>
        </w:rPr>
      </w:pPr>
      <w:r>
        <w:rPr>
          <w:rFonts w:ascii="Times New Roman" w:hAnsi="Times New Roman"/>
        </w:rPr>
        <w:lastRenderedPageBreak/>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иностранным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w:t>
      </w:r>
      <w:r>
        <w:rPr>
          <w:rFonts w:ascii="Times New Roman" w:hAnsi="Times New Roman"/>
        </w:rPr>
        <w:lastRenderedPageBreak/>
        <w:t>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7C4CEA">
      <w:pPr>
        <w:spacing w:line="240" w:lineRule="auto"/>
        <w:ind w:left="233" w:hanging="283"/>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012458">
      <w:pPr>
        <w:spacing w:line="240" w:lineRule="auto"/>
        <w:ind w:left="233" w:hanging="283"/>
        <w:jc w:val="right"/>
        <w:rPr>
          <w:rFonts w:ascii="Times New Roman" w:hAnsi="Times New Roman"/>
        </w:rPr>
      </w:pPr>
    </w:p>
    <w:p w:rsidR="007C4CEA" w:rsidRDefault="007C4CEA" w:rsidP="007C4CEA">
      <w:pPr>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rPr>
          <w:rFonts w:ascii="Arial" w:hAnsi="Arial" w:cs="Arial"/>
          <w:sz w:val="20"/>
          <w:szCs w:val="20"/>
        </w:rPr>
      </w:pPr>
      <w:r>
        <w:rPr>
          <w:rFonts w:ascii="Arial" w:hAnsi="Arial" w:cs="Arial"/>
          <w:sz w:val="20"/>
          <w:szCs w:val="20"/>
        </w:rPr>
        <w:t>Дата:</w:t>
      </w:r>
    </w:p>
    <w:p w:rsidR="00B41AED" w:rsidRDefault="00B41AED"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B41AED">
      <w:pPr>
        <w:pStyle w:val="a3"/>
        <w:tabs>
          <w:tab w:val="clear" w:pos="2160"/>
        </w:tabs>
        <w:ind w:left="0" w:firstLine="284"/>
        <w:rPr>
          <w:rFonts w:ascii="Arial" w:hAnsi="Arial" w:cs="Arial"/>
          <w:lang w:val="en-US"/>
        </w:rPr>
      </w:pPr>
    </w:p>
    <w:p w:rsidR="00230988" w:rsidRDefault="00230988" w:rsidP="00230988">
      <w:pPr>
        <w:ind w:firstLine="250"/>
        <w:jc w:val="center"/>
        <w:rPr>
          <w:rFonts w:ascii="Times New Roman" w:hAnsi="Times New Roman"/>
          <w:b/>
        </w:rPr>
      </w:pPr>
      <w:r w:rsidRPr="00411504">
        <w:rPr>
          <w:rFonts w:ascii="Times New Roman" w:hAnsi="Times New Roman"/>
          <w:b/>
        </w:rPr>
        <w:t>Декларация о рисках и правах, связанных с учетом и хранением денежных сре</w:t>
      </w:r>
      <w:proofErr w:type="gramStart"/>
      <w:r w:rsidRPr="00411504">
        <w:rPr>
          <w:rFonts w:ascii="Times New Roman" w:hAnsi="Times New Roman"/>
          <w:b/>
        </w:rPr>
        <w:t>дств Кл</w:t>
      </w:r>
      <w:proofErr w:type="gramEnd"/>
      <w:r w:rsidRPr="00411504">
        <w:rPr>
          <w:rFonts w:ascii="Times New Roman" w:hAnsi="Times New Roman"/>
          <w:b/>
        </w:rPr>
        <w:t>иента, переданных брокеру</w:t>
      </w:r>
    </w:p>
    <w:p w:rsidR="00230988" w:rsidRDefault="00230988" w:rsidP="00230988">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Целью изложения в настоящей Декларации потенциальных рисков, которые могут иметь место в связи с оказанием услуг Клиенту, является информирование Клиента о возможности наступления таких рисков, </w:t>
      </w:r>
      <w:proofErr w:type="gramStart"/>
      <w:r w:rsidRPr="00411504">
        <w:rPr>
          <w:rFonts w:ascii="Times New Roman" w:eastAsia="Times New Roman" w:hAnsi="Times New Roman"/>
          <w:sz w:val="20"/>
          <w:szCs w:val="20"/>
          <w:lang w:eastAsia="ru-RU"/>
        </w:rPr>
        <w:t>что</w:t>
      </w:r>
      <w:proofErr w:type="gramEnd"/>
      <w:r w:rsidRPr="00411504">
        <w:rPr>
          <w:rFonts w:ascii="Times New Roman" w:eastAsia="Times New Roman" w:hAnsi="Times New Roman"/>
          <w:sz w:val="20"/>
          <w:szCs w:val="20"/>
          <w:lang w:eastAsia="ru-RU"/>
        </w:rPr>
        <w:t xml:space="preserve"> однако не освобождает Банк от предусмотренной в Регламенте ответственности перед Клиентом, если действия/бездействие Банка привело к неисполнению или несвоевременному исполнению Банком Поручений Клиента или иных обязательств Банка в соответствии с Регламентом.</w:t>
      </w:r>
    </w:p>
    <w:p w:rsidR="00230988" w:rsidRDefault="00230988" w:rsidP="00230988">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w:t>
      </w:r>
      <w:proofErr w:type="gramStart"/>
      <w:r w:rsidRPr="00411504">
        <w:rPr>
          <w:rFonts w:ascii="Times New Roman" w:eastAsia="Times New Roman" w:hAnsi="Times New Roman"/>
          <w:sz w:val="20"/>
          <w:szCs w:val="20"/>
          <w:lang w:eastAsia="ru-RU"/>
        </w:rPr>
        <w:t>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w:t>
      </w:r>
      <w:proofErr w:type="gramEnd"/>
      <w:r w:rsidRPr="00411504">
        <w:rPr>
          <w:rFonts w:ascii="Times New Roman" w:eastAsia="Times New Roman" w:hAnsi="Times New Roman"/>
          <w:sz w:val="20"/>
          <w:szCs w:val="20"/>
          <w:lang w:eastAsia="ru-RU"/>
        </w:rPr>
        <w:t xml:space="preserve"> программного обеспечения. </w:t>
      </w:r>
    </w:p>
    <w:p w:rsidR="00230988" w:rsidRDefault="00230988" w:rsidP="00230988">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Банк, в том числе с целью снижения возможных рисков, ведет раздельный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Банка. В случаях, предусмотренных применимым законодательством, Банк по требованию Клиента открывает отдельный денежный счет для исполнения и/или обеспечения исполнения обязательств, допущенных к клирингу и возникших вследствие исполнения Поручения Клиента. </w:t>
      </w:r>
    </w:p>
    <w:p w:rsidR="00230988" w:rsidRDefault="00230988" w:rsidP="00230988">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Учитывая </w:t>
      </w:r>
      <w:proofErr w:type="gramStart"/>
      <w:r w:rsidRPr="00411504">
        <w:rPr>
          <w:rFonts w:ascii="Times New Roman" w:eastAsia="Times New Roman" w:hAnsi="Times New Roman"/>
          <w:sz w:val="20"/>
          <w:szCs w:val="20"/>
          <w:lang w:eastAsia="ru-RU"/>
        </w:rPr>
        <w:t>вышеизложенное</w:t>
      </w:r>
      <w:proofErr w:type="gramEnd"/>
      <w:r w:rsidRPr="00411504">
        <w:rPr>
          <w:rFonts w:ascii="Times New Roman" w:eastAsia="Times New Roman" w:hAnsi="Times New Roman"/>
          <w:sz w:val="20"/>
          <w:szCs w:val="20"/>
          <w:lang w:eastAsia="ru-RU"/>
        </w:rPr>
        <w:t xml:space="preserve">,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230988" w:rsidRDefault="00230988" w:rsidP="00230988">
      <w:pPr>
        <w:rPr>
          <w:rFonts w:ascii="Times New Roman" w:eastAsia="Times New Roman" w:hAnsi="Times New Roman"/>
          <w:sz w:val="20"/>
          <w:szCs w:val="20"/>
          <w:lang w:eastAsia="ru-RU"/>
        </w:rPr>
      </w:pPr>
    </w:p>
    <w:p w:rsidR="00230988" w:rsidRDefault="00230988" w:rsidP="00230988">
      <w:pPr>
        <w:pStyle w:val="a3"/>
        <w:tabs>
          <w:tab w:val="clear" w:pos="2160"/>
        </w:tabs>
        <w:ind w:left="0" w:firstLine="284"/>
      </w:pPr>
    </w:p>
    <w:p w:rsidR="00230988" w:rsidRDefault="00230988" w:rsidP="00230988">
      <w:pPr>
        <w:rPr>
          <w:rFonts w:ascii="Arial" w:hAnsi="Arial" w:cs="Arial"/>
          <w:sz w:val="20"/>
          <w:szCs w:val="20"/>
        </w:rPr>
      </w:pPr>
      <w:r>
        <w:rPr>
          <w:rFonts w:ascii="Arial" w:hAnsi="Arial" w:cs="Arial"/>
          <w:sz w:val="20"/>
          <w:szCs w:val="20"/>
        </w:rPr>
        <w:t>Подпись Клиента: _____________________________________________________________</w:t>
      </w:r>
    </w:p>
    <w:p w:rsidR="00230988" w:rsidRDefault="00230988" w:rsidP="00230988">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230988" w:rsidRDefault="00230988" w:rsidP="00230988">
      <w:pPr>
        <w:rPr>
          <w:rFonts w:ascii="Arial" w:hAnsi="Arial" w:cs="Arial"/>
          <w:sz w:val="20"/>
          <w:szCs w:val="20"/>
        </w:rPr>
      </w:pPr>
      <w:r>
        <w:rPr>
          <w:rFonts w:ascii="Arial" w:hAnsi="Arial" w:cs="Arial"/>
          <w:sz w:val="20"/>
          <w:szCs w:val="20"/>
        </w:rPr>
        <w:t>Дата:</w:t>
      </w:r>
    </w:p>
    <w:p w:rsidR="00230988" w:rsidRPr="000A6CD5" w:rsidRDefault="00230988" w:rsidP="00230988">
      <w:pPr>
        <w:rPr>
          <w:rFonts w:ascii="Times New Roman" w:hAnsi="Times New Roman"/>
        </w:rPr>
      </w:pPr>
    </w:p>
    <w:p w:rsidR="00230988" w:rsidRPr="00230988" w:rsidRDefault="00230988" w:rsidP="00B41AED">
      <w:pPr>
        <w:pStyle w:val="a3"/>
        <w:tabs>
          <w:tab w:val="clear" w:pos="2160"/>
        </w:tabs>
        <w:ind w:left="0" w:firstLine="284"/>
        <w:rPr>
          <w:rFonts w:ascii="Arial" w:hAnsi="Arial" w:cs="Arial"/>
          <w:lang w:val="en-US"/>
        </w:rPr>
      </w:pPr>
    </w:p>
    <w:sectPr w:rsidR="00230988" w:rsidRPr="00230988" w:rsidSect="001D4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BCF"/>
    <w:multiLevelType w:val="hybridMultilevel"/>
    <w:tmpl w:val="9310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5B4A61"/>
    <w:rsid w:val="00012458"/>
    <w:rsid w:val="00047E20"/>
    <w:rsid w:val="001D4E2A"/>
    <w:rsid w:val="00230988"/>
    <w:rsid w:val="00254B0A"/>
    <w:rsid w:val="00313232"/>
    <w:rsid w:val="00390B9D"/>
    <w:rsid w:val="003928C6"/>
    <w:rsid w:val="0049677B"/>
    <w:rsid w:val="00535BD6"/>
    <w:rsid w:val="005B4A61"/>
    <w:rsid w:val="006359AF"/>
    <w:rsid w:val="006D417B"/>
    <w:rsid w:val="00766B73"/>
    <w:rsid w:val="007C4CEA"/>
    <w:rsid w:val="00800C35"/>
    <w:rsid w:val="0082694D"/>
    <w:rsid w:val="0088482C"/>
    <w:rsid w:val="008C06AD"/>
    <w:rsid w:val="009227D9"/>
    <w:rsid w:val="009634A4"/>
    <w:rsid w:val="009B3BE1"/>
    <w:rsid w:val="009E3CA9"/>
    <w:rsid w:val="00A34862"/>
    <w:rsid w:val="00AC39D8"/>
    <w:rsid w:val="00B41AED"/>
    <w:rsid w:val="00CE7EA9"/>
    <w:rsid w:val="00F71FE0"/>
    <w:rsid w:val="00F8548D"/>
    <w:rsid w:val="00FA5F1E"/>
    <w:rsid w:val="00FF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8855329">
      <w:bodyDiv w:val="1"/>
      <w:marLeft w:val="0"/>
      <w:marRight w:val="0"/>
      <w:marTop w:val="0"/>
      <w:marBottom w:val="0"/>
      <w:divBdr>
        <w:top w:val="none" w:sz="0" w:space="0" w:color="auto"/>
        <w:left w:val="none" w:sz="0" w:space="0" w:color="auto"/>
        <w:bottom w:val="none" w:sz="0" w:space="0" w:color="auto"/>
        <w:right w:val="none" w:sz="0" w:space="0" w:color="auto"/>
      </w:divBdr>
    </w:div>
    <w:div w:id="382364621">
      <w:bodyDiv w:val="1"/>
      <w:marLeft w:val="0"/>
      <w:marRight w:val="0"/>
      <w:marTop w:val="0"/>
      <w:marBottom w:val="0"/>
      <w:divBdr>
        <w:top w:val="none" w:sz="0" w:space="0" w:color="auto"/>
        <w:left w:val="none" w:sz="0" w:space="0" w:color="auto"/>
        <w:bottom w:val="none" w:sz="0" w:space="0" w:color="auto"/>
        <w:right w:val="none" w:sz="0" w:space="0" w:color="auto"/>
      </w:divBdr>
    </w:div>
    <w:div w:id="536626737">
      <w:bodyDiv w:val="1"/>
      <w:marLeft w:val="0"/>
      <w:marRight w:val="0"/>
      <w:marTop w:val="0"/>
      <w:marBottom w:val="0"/>
      <w:divBdr>
        <w:top w:val="none" w:sz="0" w:space="0" w:color="auto"/>
        <w:left w:val="none" w:sz="0" w:space="0" w:color="auto"/>
        <w:bottom w:val="none" w:sz="0" w:space="0" w:color="auto"/>
        <w:right w:val="none" w:sz="0" w:space="0" w:color="auto"/>
      </w:divBdr>
    </w:div>
    <w:div w:id="750156813">
      <w:bodyDiv w:val="1"/>
      <w:marLeft w:val="0"/>
      <w:marRight w:val="0"/>
      <w:marTop w:val="0"/>
      <w:marBottom w:val="0"/>
      <w:divBdr>
        <w:top w:val="none" w:sz="0" w:space="0" w:color="auto"/>
        <w:left w:val="none" w:sz="0" w:space="0" w:color="auto"/>
        <w:bottom w:val="none" w:sz="0" w:space="0" w:color="auto"/>
        <w:right w:val="none" w:sz="0" w:space="0" w:color="auto"/>
      </w:divBdr>
    </w:div>
    <w:div w:id="1037660696">
      <w:bodyDiv w:val="1"/>
      <w:marLeft w:val="0"/>
      <w:marRight w:val="0"/>
      <w:marTop w:val="0"/>
      <w:marBottom w:val="0"/>
      <w:divBdr>
        <w:top w:val="none" w:sz="0" w:space="0" w:color="auto"/>
        <w:left w:val="none" w:sz="0" w:space="0" w:color="auto"/>
        <w:bottom w:val="none" w:sz="0" w:space="0" w:color="auto"/>
        <w:right w:val="none" w:sz="0" w:space="0" w:color="auto"/>
      </w:divBdr>
    </w:div>
    <w:div w:id="1262763485">
      <w:bodyDiv w:val="1"/>
      <w:marLeft w:val="0"/>
      <w:marRight w:val="0"/>
      <w:marTop w:val="0"/>
      <w:marBottom w:val="0"/>
      <w:divBdr>
        <w:top w:val="none" w:sz="0" w:space="0" w:color="auto"/>
        <w:left w:val="none" w:sz="0" w:space="0" w:color="auto"/>
        <w:bottom w:val="none" w:sz="0" w:space="0" w:color="auto"/>
        <w:right w:val="none" w:sz="0" w:space="0" w:color="auto"/>
      </w:divBdr>
    </w:div>
    <w:div w:id="1406297440">
      <w:bodyDiv w:val="1"/>
      <w:marLeft w:val="0"/>
      <w:marRight w:val="0"/>
      <w:marTop w:val="0"/>
      <w:marBottom w:val="0"/>
      <w:divBdr>
        <w:top w:val="none" w:sz="0" w:space="0" w:color="auto"/>
        <w:left w:val="none" w:sz="0" w:space="0" w:color="auto"/>
        <w:bottom w:val="none" w:sz="0" w:space="0" w:color="auto"/>
        <w:right w:val="none" w:sz="0" w:space="0" w:color="auto"/>
      </w:divBdr>
    </w:div>
    <w:div w:id="1694915079">
      <w:bodyDiv w:val="1"/>
      <w:marLeft w:val="0"/>
      <w:marRight w:val="0"/>
      <w:marTop w:val="0"/>
      <w:marBottom w:val="0"/>
      <w:divBdr>
        <w:top w:val="none" w:sz="0" w:space="0" w:color="auto"/>
        <w:left w:val="none" w:sz="0" w:space="0" w:color="auto"/>
        <w:bottom w:val="none" w:sz="0" w:space="0" w:color="auto"/>
        <w:right w:val="none" w:sz="0" w:space="0" w:color="auto"/>
      </w:divBdr>
    </w:div>
    <w:div w:id="18897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5983</Words>
  <Characters>34109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40012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rykunov</dc:creator>
  <cp:lastModifiedBy>karpakova</cp:lastModifiedBy>
  <cp:revision>3</cp:revision>
  <dcterms:created xsi:type="dcterms:W3CDTF">2022-02-02T12:06:00Z</dcterms:created>
  <dcterms:modified xsi:type="dcterms:W3CDTF">2022-02-02T12:12:00Z</dcterms:modified>
</cp:coreProperties>
</file>