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AED" w:rsidRPr="0049677B"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Приложение № 9</w:t>
      </w:r>
    </w:p>
    <w:p w:rsidR="00B41AED" w:rsidRP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 xml:space="preserve">к Регламенту оказания услуг на финансовых рынках </w:t>
      </w:r>
    </w:p>
    <w:p w:rsidR="00B41AED" w:rsidRDefault="00B41AED" w:rsidP="00B41AED">
      <w:pPr>
        <w:spacing w:after="0" w:line="240" w:lineRule="auto"/>
        <w:jc w:val="right"/>
        <w:rPr>
          <w:rFonts w:ascii="Arial" w:eastAsia="Times New Roman" w:hAnsi="Arial" w:cs="Arial"/>
          <w:i/>
          <w:sz w:val="20"/>
          <w:szCs w:val="20"/>
          <w:lang w:eastAsia="ru-RU"/>
        </w:rPr>
      </w:pPr>
      <w:r w:rsidRPr="00B41AED">
        <w:rPr>
          <w:rFonts w:ascii="Arial" w:eastAsia="Times New Roman" w:hAnsi="Arial" w:cs="Arial"/>
          <w:i/>
          <w:sz w:val="20"/>
          <w:szCs w:val="20"/>
          <w:lang w:eastAsia="ru-RU"/>
        </w:rPr>
        <w:t>ПАО «Бест Эффортс Банк»</w:t>
      </w:r>
    </w:p>
    <w:p w:rsidR="00012458" w:rsidRPr="00B41AED" w:rsidRDefault="00012458"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ind w:firstLine="249"/>
        <w:jc w:val="center"/>
        <w:rPr>
          <w:rFonts w:ascii="Times New Roman" w:hAnsi="Times New Roman"/>
          <w:b/>
        </w:rPr>
      </w:pPr>
      <w:r>
        <w:rPr>
          <w:rFonts w:ascii="Times New Roman" w:hAnsi="Times New Roman"/>
          <w:b/>
        </w:rPr>
        <w:t xml:space="preserve">Декларация об общих рисках, связанных с осуществлением операций на рынке ценных бумаг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осуществлением операций на рынке ценных бумаг. Обращаем ваше внимание на то, что настоящая Декларация не раскрывает информацию обо всех рисках на рынке ценных бумаг вследствие разнообразия возникающих на нем ситуаций.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В общем смысле риск представляет собой возможность возникновения убытков при осуществлении финансовых операций в связи с возможным неблагоприятным влиянием разного рода факторов. Ниже – основные риски, с которыми будут связаны ваши операции на рынке ценных бумаг.</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xml:space="preserve">. Системный риск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затрагивает несколько финансовых институтов и проявляется в снижении их способности выполнять свои функции.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Этот риск проявляется в неблагоприятном изменении цен (стоимости) принадлежащих вам финансовых инструментов, в том числе из-за неблагоприятного изменения политической ситуации, резкой девальвации национальной валюты, кризиса рынка государственных долговых обязательств, банковского и валютного кризиса, обстоятельств непреодолимой силы, главным образом стихийного и военного характера, и как следствие, приводит к снижению доходности или даже убыткам.</w:t>
      </w:r>
      <w:proofErr w:type="gramEnd"/>
      <w:r>
        <w:rPr>
          <w:rFonts w:ascii="Times New Roman" w:hAnsi="Times New Roman"/>
        </w:rPr>
        <w:t xml:space="preserve"> В зависимости от выбранной стратегии рыночный (ценовой) риск будет состоять в увеличении (уменьшении) цены финансовых инструментов. Вы должны отдавать себе отчет в том, что стоимость принадлежащих вам финансовых инструментов </w:t>
      </w:r>
      <w:proofErr w:type="gramStart"/>
      <w:r>
        <w:rPr>
          <w:rFonts w:ascii="Times New Roman" w:hAnsi="Times New Roman"/>
        </w:rPr>
        <w:t>может</w:t>
      </w:r>
      <w:proofErr w:type="gramEnd"/>
      <w:r>
        <w:rPr>
          <w:rFonts w:ascii="Times New Roman" w:hAnsi="Times New Roman"/>
        </w:rPr>
        <w:t xml:space="preserve"> как расти, так и снижаться, и ее рост в прошлом не означает ее роста в будущем.</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Следует специально обратить внимание на следующие рыночные риски: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Валютный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Валютный риск проявляется в неблагоприятном изменении курса рубля по отношению к иностранной валюте, при котором ваши доходы от владения финансовыми инструментами могут быть подвергнуты инфляционному воздействию (снижению реальной покупательной способности), вследствие чего вы можете потерять часть дохода, а также понести убытки. Валютный риск также может привести к изменению размера обязательств по финансовым инструментам, связанным с иностранной валютой или иностранными финансовыми инструментами, что может привести к убыткам или к затруднению возможности рассчитываться по ним.</w:t>
      </w:r>
    </w:p>
    <w:p w:rsidR="00012458" w:rsidRDefault="00F8548D"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2. Процентный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неблагоприятном изменении процентной ставки, влияющей на курсовую стоимость облигаций с фиксированным доходом. Процентный риск может быть обусловлен несовпадением сроков востребования (погашения) требований и обязательств, а также неодинаковой степенью изменения процентных ставок по требованиям и обязательствам.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банкротства эмитента акций</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Проявляется в резком падении цены акций акционерного общества, признанного несостоятельным, или в предвидении такой несостоятельности.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Для того чтобы снизить рыночный риск, вам следует внимательно отнестись к выбору и диверсификации финансовых инструментов. Кроме того, внимательно ознакомьтесь с условиями вашего взаимодействия с вашим брокером для того, чтобы оценить расходы, с которыми будут связаны владение и операции с финансовыми инструментами и убедитесь, в том, что они приемлемы для вас и не лишают вас ожидаемого вами дохода.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проявляется в снижении возможности реализовать финансовые инструменты по необходимой цене из-за снижения спроса на них. Данный риск может проявиться, в частности, при необходимости быстрой продажи финансовых инструментов, в убытках, связанных со значительным снижением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IV</w:t>
      </w:r>
      <w:r>
        <w:rPr>
          <w:rFonts w:ascii="Times New Roman" w:hAnsi="Times New Roman"/>
        </w:rPr>
        <w:t>. Кредитный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Этот риск заключается в возможности невыполнения контрактных и иных обязательств, принятых на себя другими лицами в связи с вашими операциями.</w:t>
      </w:r>
    </w:p>
    <w:p w:rsidR="00012458" w:rsidRDefault="00012458" w:rsidP="007C4CEA">
      <w:pPr>
        <w:spacing w:after="0" w:line="240" w:lineRule="auto"/>
        <w:ind w:firstLine="375"/>
        <w:jc w:val="both"/>
        <w:rPr>
          <w:rFonts w:ascii="Times New Roman" w:hAnsi="Times New Roman"/>
        </w:rPr>
      </w:pPr>
      <w:r>
        <w:rPr>
          <w:rFonts w:ascii="Times New Roman" w:hAnsi="Times New Roman"/>
        </w:rPr>
        <w:t>К числу кредитных рисков относятся следующие риски: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1. Риск дефолта по облигациям и иным долговым ценным бумагам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неплатежеспособности эмитента долговых ценных бумаг, что приведет к невозможности или снижению вероятности погасить ее в срок и в полном объеме.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2. Риск контрагента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контрагента — третьего лица проявляется в риске неисполнения обязательств перед вами или вашим брокером со стороны контрагентов. Ваш брокер должен принимать меры по минимизации риска контрагента, однако не может исключить его полностью. Особенно высок риск контрагента при совершении операций, совершаемых на неорганизованном рынке, без участия клиринговых организаций, которые принимают на себя риски неисполнения обязательств.</w:t>
      </w:r>
    </w:p>
    <w:p w:rsidR="00012458" w:rsidRDefault="00012458" w:rsidP="007C4CEA">
      <w:pPr>
        <w:spacing w:after="0" w:line="240" w:lineRule="auto"/>
        <w:ind w:firstLine="375"/>
        <w:jc w:val="both"/>
        <w:rPr>
          <w:rFonts w:ascii="Times New Roman" w:hAnsi="Times New Roman"/>
        </w:rPr>
      </w:pPr>
      <w:r>
        <w:rPr>
          <w:rFonts w:ascii="Times New Roman" w:hAnsi="Times New Roman"/>
        </w:rPr>
        <w:t>Вы должны отдавать себе отчет в том, что хотя брокер  действует в ваших интересах от своего имени, риски, которые он принимает в результате таких действий, в том числе риск неисполнения или ненадлежащего исполнения обязатель</w:t>
      </w:r>
      <w:proofErr w:type="gramStart"/>
      <w:r>
        <w:rPr>
          <w:rFonts w:ascii="Times New Roman" w:hAnsi="Times New Roman"/>
        </w:rPr>
        <w:t>ств тр</w:t>
      </w:r>
      <w:proofErr w:type="gramEnd"/>
      <w:r>
        <w:rPr>
          <w:rFonts w:ascii="Times New Roman" w:hAnsi="Times New Roman"/>
        </w:rPr>
        <w:t>етьих лиц перед вашим брокером, несете вы. Оцените, где именно будут храниться переданные вами брокеру  активы, готовы ли вы осуществлять операции вне централизованной клиринговой инфраструктуры.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3. Риск неисполнения обязательств перед вами вашим брокером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Риск неисполнения вашим брокером некоторых обязательств перед вами является видом риска контрагента.</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требует хранить денежные средства брокера и денежные средства его клиентов на разных банковских счетах, благодаря чему они защищены в случае банкротства брокера. Однако обычно денежные средства клиента хранятся на банковском счете вместе с денежными средствами других клиентов и поэтому не защищены от обращения взыскания по долгам других клиентов.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Законодательство не предусматривает возможности разделения денежных средств брокера, являющегося кредитной организацией, и денежных средств его клиентов, в </w:t>
      </w:r>
      <w:proofErr w:type="gramStart"/>
      <w:r>
        <w:rPr>
          <w:rFonts w:ascii="Times New Roman" w:hAnsi="Times New Roman"/>
        </w:rPr>
        <w:t>связи</w:t>
      </w:r>
      <w:proofErr w:type="gramEnd"/>
      <w:r>
        <w:rPr>
          <w:rFonts w:ascii="Times New Roman" w:hAnsi="Times New Roman"/>
        </w:rPr>
        <w:t xml:space="preserve"> с чем брокер вправе использовать ваши денежные средства и вы принимаете на себя риск его банкротства. Такой риск в настоящее время не страхуется.</w:t>
      </w:r>
    </w:p>
    <w:p w:rsidR="00012458" w:rsidRDefault="00012458" w:rsidP="007C4CEA">
      <w:pPr>
        <w:spacing w:after="0" w:line="240" w:lineRule="auto"/>
        <w:ind w:firstLine="375"/>
        <w:jc w:val="both"/>
        <w:rPr>
          <w:rFonts w:ascii="Times New Roman" w:hAnsi="Times New Roman"/>
        </w:rPr>
      </w:pPr>
      <w:r>
        <w:rPr>
          <w:rFonts w:ascii="Times New Roman" w:hAnsi="Times New Roman"/>
        </w:rPr>
        <w:t>Внимательно ознакомьтесь с проектом договора для того, чтобы оценить, какие полномочия по использованию вашего имущества будет иметь ваш брокер, каковы правила его хранения, а также возврата.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Ваш брокер является членом НАУФОР, </w:t>
      </w:r>
      <w:proofErr w:type="gramStart"/>
      <w:r>
        <w:rPr>
          <w:rFonts w:ascii="Times New Roman" w:hAnsi="Times New Roman"/>
        </w:rPr>
        <w:t>к</w:t>
      </w:r>
      <w:proofErr w:type="gramEnd"/>
      <w:r>
        <w:rPr>
          <w:rFonts w:ascii="Times New Roman" w:hAnsi="Times New Roman"/>
        </w:rPr>
        <w:t xml:space="preserve"> которой вы можете обратиться в случае нарушения ваших прав и интересов. Государственное регулирование и надзор в отношении деятельности </w:t>
      </w:r>
      <w:r>
        <w:rPr>
          <w:rFonts w:ascii="Times New Roman" w:hAnsi="Times New Roman"/>
        </w:rPr>
        <w:lastRenderedPageBreak/>
        <w:t>эмитентов, профессиональных участников рынка ценных бумаг, организаторов торговли и других финансовых организаций осуществляется Центральным банком Российской Федерации, к которому вы также можете обращаться в случае нарушения ваших прав и интересов. Помимо этого, вы вправе обращаться за защитой в судебные и правоохранительные органы.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w:t>
      </w:r>
      <w:r>
        <w:rPr>
          <w:rFonts w:ascii="Times New Roman" w:hAnsi="Times New Roman"/>
        </w:rPr>
        <w:t>. Правовой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Связан с возможными негативными последствиями утверждения законодательства или нормативных актов, стандартов саморегулируемых организаций, регулирующих рынок ценных бумаг, или иные отрасли экономики,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r>
        <w:rPr>
          <w:rFonts w:ascii="Times New Roman" w:hAnsi="Times New Roman"/>
        </w:rPr>
        <w:t>К правовому риску также относится возможность изменения правил расчета налога, налоговых ставок, отмены налоговых вычетов и другие изменения налогового законодательства, которые могут привести к негативным для вас последствиям.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VI</w:t>
      </w:r>
      <w:r>
        <w:rPr>
          <w:rFonts w:ascii="Times New Roman" w:hAnsi="Times New Roman"/>
        </w:rPr>
        <w:t>. Операционный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Заключается в возможности причинения вам убытков в результате нарушения внутренних процедур вашего брокера, ошибок и недобросовестных действий его сотрудников, сбоев в работе технических средств вашего брокера, его партнеров, инфраструктурных организаций, в том числе организаторов торгов, клиринговых организаций, а также других организаций. Операционный риск может исключить или затруднить совершение операций и в результате привести к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Ознакомьтесь внимательно с договором для того, чтобы оценить, какие из рисков, в том числе риски каких технических сбоев, несет ваш брокер, а какие из рисков несете вы.</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операций на финансовом рынке,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операций на рынке ценных бумаг,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after="0" w:line="240" w:lineRule="auto"/>
        <w:ind w:firstLine="375"/>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both"/>
        <w:rPr>
          <w:rFonts w:ascii="Arial" w:eastAsia="Times New Roman" w:hAnsi="Arial" w:cs="Arial"/>
          <w:i/>
          <w:sz w:val="20"/>
          <w:szCs w:val="20"/>
          <w:lang w:eastAsia="ru-RU"/>
        </w:rPr>
      </w:pPr>
    </w:p>
    <w:p w:rsidR="00012458" w:rsidRDefault="00012458" w:rsidP="007C4CEA">
      <w:pPr>
        <w:spacing w:after="0" w:line="240" w:lineRule="auto"/>
        <w:jc w:val="center"/>
        <w:rPr>
          <w:rFonts w:ascii="Times New Roman" w:hAnsi="Times New Roman"/>
          <w:b/>
        </w:rPr>
      </w:pPr>
      <w:r>
        <w:rPr>
          <w:rFonts w:ascii="Times New Roman" w:hAnsi="Times New Roman"/>
          <w:b/>
        </w:rPr>
        <w:lastRenderedPageBreak/>
        <w:t>Декларация о рисках, связанных с совершением</w:t>
      </w:r>
    </w:p>
    <w:p w:rsidR="00012458" w:rsidRDefault="00012458" w:rsidP="007C4CEA">
      <w:pPr>
        <w:spacing w:after="0" w:line="240" w:lineRule="auto"/>
        <w:jc w:val="center"/>
        <w:rPr>
          <w:rFonts w:ascii="Times New Roman" w:hAnsi="Times New Roman"/>
          <w:b/>
        </w:rPr>
      </w:pPr>
      <w:r>
        <w:rPr>
          <w:rFonts w:ascii="Times New Roman" w:hAnsi="Times New Roman"/>
          <w:b/>
        </w:rPr>
        <w:t xml:space="preserve">маржинальных и непокрытых сделок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jc w:val="both"/>
        <w:rPr>
          <w:rFonts w:ascii="Times New Roman" w:hAnsi="Times New Roman"/>
          <w:b/>
        </w:rPr>
      </w:pP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Цель настоящей Декларации — предоставить вам информацию об основных рисках, с которыми связаны маржинальные сделки (то есть сделки, исполнение которых осуществляется с использованием заемных средств, предоставленных брокером) и непокрытые сделки (то есть сделки, в результате которых возникает непокрытая позиция – для исполнения обязательств по которым на момент заключения сделки имущества клиента, переданного брокеру, недостаточно с учетом иных ранее заключенных сделок).</w:t>
      </w:r>
      <w:proofErr w:type="gramEnd"/>
    </w:p>
    <w:p w:rsidR="00012458" w:rsidRDefault="00012458" w:rsidP="007C4CEA">
      <w:pPr>
        <w:spacing w:after="0" w:line="240" w:lineRule="auto"/>
        <w:ind w:firstLine="375"/>
        <w:jc w:val="both"/>
        <w:rPr>
          <w:rFonts w:ascii="Times New Roman" w:hAnsi="Times New Roman"/>
        </w:rPr>
      </w:pPr>
      <w:r>
        <w:rPr>
          <w:rFonts w:ascii="Times New Roman" w:hAnsi="Times New Roman"/>
        </w:rPr>
        <w:t>Данные сделки подходят не всем клиентам. Нормативные акты ограничивают риски клиентов по маржинальным и непокрытым сделкам, в том числе регулируя максимальное «плечо» — соотношение обязатель</w:t>
      </w:r>
      <w:proofErr w:type="gramStart"/>
      <w:r>
        <w:rPr>
          <w:rFonts w:ascii="Times New Roman" w:hAnsi="Times New Roman"/>
        </w:rPr>
        <w:t>ств кл</w:t>
      </w:r>
      <w:proofErr w:type="gramEnd"/>
      <w:r>
        <w:rPr>
          <w:rFonts w:ascii="Times New Roman" w:hAnsi="Times New Roman"/>
        </w:rPr>
        <w:t xml:space="preserve">иента по заключенным в его интересах сделкам и имущества клиента, предназначенного для совершения сделок в соответствии с брокерским договором. Тем не </w:t>
      </w:r>
      <w:proofErr w:type="gramStart"/>
      <w:r>
        <w:rPr>
          <w:rFonts w:ascii="Times New Roman" w:hAnsi="Times New Roman"/>
        </w:rPr>
        <w:t>менее</w:t>
      </w:r>
      <w:proofErr w:type="gramEnd"/>
      <w:r>
        <w:rPr>
          <w:rFonts w:ascii="Times New Roman" w:hAnsi="Times New Roman"/>
        </w:rPr>
        <w:t xml:space="preserve"> данные сделки подходят не всем клиентам, поскольку сопряжены с дополнительными рисками и требуют оценки того, готовы ли вы их нести.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 согласии на совершение маржинальных и непокрытых сделок вы должны учитывать тот факт, что величина потерь в случае неблагоприятного для вашего портфеля движения рынка увеличивается при увеличении «плеча». </w:t>
      </w:r>
    </w:p>
    <w:p w:rsidR="00012458" w:rsidRDefault="00012458" w:rsidP="007C4CEA">
      <w:pPr>
        <w:spacing w:after="0" w:line="240" w:lineRule="auto"/>
        <w:ind w:firstLine="375"/>
        <w:jc w:val="both"/>
        <w:rPr>
          <w:rFonts w:ascii="Times New Roman" w:hAnsi="Times New Roman"/>
        </w:rPr>
      </w:pPr>
      <w:proofErr w:type="gramStart"/>
      <w:r>
        <w:rPr>
          <w:rFonts w:ascii="Times New Roman" w:hAnsi="Times New Roman"/>
        </w:rPr>
        <w:t>Помимо общего рыночного риска, который несет клиент, совершающий операции на рынке ценных бумаг, вы в случае совершения маржинальных и непокрытых сделок будете нести риск неблагоприятного изменения цены как в отношении ценных бумаг, в результате приобретения которых возникла или увеличилась непокрытая позиция, так и риск в отношении активов, которые служат обеспечением.</w:t>
      </w:r>
      <w:proofErr w:type="gramEnd"/>
      <w:r>
        <w:rPr>
          <w:rFonts w:ascii="Times New Roman" w:hAnsi="Times New Roman"/>
        </w:rPr>
        <w:t xml:space="preserve"> При этом</w:t>
      </w:r>
      <w:proofErr w:type="gramStart"/>
      <w:r>
        <w:rPr>
          <w:rFonts w:ascii="Times New Roman" w:hAnsi="Times New Roman"/>
        </w:rPr>
        <w:t>,</w:t>
      </w:r>
      <w:proofErr w:type="gramEnd"/>
      <w:r>
        <w:rPr>
          <w:rFonts w:ascii="Times New Roman" w:hAnsi="Times New Roman"/>
        </w:rPr>
        <w:t xml:space="preserve"> в случае если непокрытая позиция возникла или увеличилась в результате продажи ценных бумаг, величина убытков ничем не ограничена – вы будете обязаны вернуть (передать) брокеру ценные бумаги независимо от изменения их стоимости.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совершении маржинальных и непокрытых сделок вы должны учитывать, что возможность распоряжения активами, являющимися обеспечением по таким сделкам,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совершения маржинальной или непокрытой сделки является обеспечением исполнения ваших обязательств перед брокером и возможность распоряжения им может быть ограничена вплоть до полного запрета совершения с ним каких-либо сделок. Размер обеспечения изменяется в порядке, предусмотренном договором, и в результате вы можете быть ограничены в возможности распоряжаться своим имуществом в большей степени, чем до совершения маржинальной (непокрытой) сделки.</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Нормативные акты и условия брокерского договора позволяют брокеру без вашего согласия «принудительно закрыть позицию», то есть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позиции может быть вызвано резкими колебаниями рыночных цен, которые повлекли уменьшение стоимости вашего портфеля ниже минимальной маржи.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Принудительное закрытие позиции может быть вызвано требованиями нормативных актов или внесением брокером в одностороннем порядке изменений в список ценных бумаг, которые могут быть обеспечением по непокрытым позициям. </w:t>
      </w:r>
    </w:p>
    <w:p w:rsidR="00012458" w:rsidRDefault="00012458" w:rsidP="007C4CEA">
      <w:pPr>
        <w:spacing w:after="0" w:line="240" w:lineRule="auto"/>
        <w:ind w:firstLine="375"/>
        <w:jc w:val="both"/>
        <w:rPr>
          <w:rFonts w:ascii="Times New Roman" w:hAnsi="Times New Roman"/>
        </w:rPr>
      </w:pPr>
      <w:r>
        <w:rPr>
          <w:rFonts w:ascii="Times New Roman" w:hAnsi="Times New Roman"/>
        </w:rPr>
        <w:t>Принудительное закрытие может быть вызвано изменением значений ставок риска, рассчитываемых клиринговой организацией и (или) используемых брокером в связи с увеличением волатильности соответствующих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Во всех этих случаях принудительное закрытие позиции может причинить вам значительные убытки, несмотря на то, что после закрытия позиции изменение цен на финансовые инструменты </w:t>
      </w:r>
      <w:r>
        <w:rPr>
          <w:rFonts w:ascii="Times New Roman" w:hAnsi="Times New Roman"/>
        </w:rPr>
        <w:lastRenderedPageBreak/>
        <w:t xml:space="preserve">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Риск ликвидности</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величина непокрытой позиции по отдельным ценным бумагам является значимой в сравнении с объемом соответствующих ценных бумаг в свободном обращении и (или) в сравнении с объемом торгов на организованном рынке, риск ликвидности при совершении маржинальной и непокрытой сделки усиливается. Трудности с приобретением или продажей активов могут привести к увеличению убытков по сравнению с обычными сделками. Аналогично необходимо учитывать возрастающий риск ликвидности, если обеспечением вашей непокрытой позиции являются ценные бумаги и для закрытия непокрытой позиции может потребоваться реализация существенного количества ценных бумаг.</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3928C6" w:rsidRDefault="003928C6" w:rsidP="007C4CEA">
      <w:pPr>
        <w:spacing w:after="0" w:line="240" w:lineRule="auto"/>
        <w:ind w:firstLine="375"/>
        <w:jc w:val="both"/>
        <w:rPr>
          <w:rFonts w:ascii="Times New Roman" w:hAnsi="Times New Roman"/>
        </w:rPr>
      </w:pPr>
    </w:p>
    <w:p w:rsidR="003928C6" w:rsidRPr="00313232" w:rsidRDefault="003928C6" w:rsidP="007C4CEA">
      <w:pPr>
        <w:spacing w:after="0" w:line="240" w:lineRule="auto"/>
        <w:ind w:firstLine="375"/>
        <w:jc w:val="both"/>
        <w:rPr>
          <w:rFonts w:ascii="Times New Roman" w:hAnsi="Times New Roman"/>
        </w:rPr>
      </w:pPr>
      <w:r>
        <w:rPr>
          <w:rFonts w:ascii="Times New Roman" w:hAnsi="Times New Roman"/>
          <w:lang w:val="en-US"/>
        </w:rPr>
        <w:t>III</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w:t>
      </w:r>
    </w:p>
    <w:p w:rsidR="00012458" w:rsidRDefault="00012458" w:rsidP="007C4CEA">
      <w:pPr>
        <w:spacing w:after="0" w:line="240" w:lineRule="auto"/>
        <w:ind w:firstLine="375"/>
        <w:jc w:val="both"/>
        <w:rPr>
          <w:rFonts w:ascii="Times New Roman" w:hAnsi="Times New Roman"/>
        </w:rPr>
      </w:pPr>
      <w:r>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Учитывая вышеизложенное,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49677B" w:rsidRDefault="0049677B" w:rsidP="007C4CEA">
      <w:pPr>
        <w:spacing w:after="0" w:line="240" w:lineRule="auto"/>
        <w:jc w:val="right"/>
        <w:rPr>
          <w:rFonts w:ascii="Arial" w:eastAsia="Times New Roman" w:hAnsi="Arial" w:cs="Arial"/>
          <w:i/>
          <w:sz w:val="20"/>
          <w:szCs w:val="20"/>
          <w:lang w:eastAsia="ru-RU"/>
        </w:rPr>
      </w:pPr>
    </w:p>
    <w:p w:rsidR="00012458" w:rsidRDefault="00012458" w:rsidP="007C4CEA">
      <w:pPr>
        <w:spacing w:after="100" w:afterAutospacing="1" w:line="240" w:lineRule="auto"/>
        <w:jc w:val="center"/>
        <w:rPr>
          <w:rFonts w:ascii="Times New Roman" w:hAnsi="Times New Roman"/>
          <w:b/>
        </w:rPr>
      </w:pPr>
      <w:r>
        <w:rPr>
          <w:rFonts w:ascii="Times New Roman" w:hAnsi="Times New Roman"/>
          <w:b/>
        </w:rPr>
        <w:t>Декларация о рисках, связанных с производными финансовыми инструментами</w:t>
      </w:r>
      <w:r w:rsidR="00A34862">
        <w:rPr>
          <w:rFonts w:ascii="Times New Roman" w:hAnsi="Times New Roman"/>
          <w:b/>
        </w:rPr>
        <w:t>,</w:t>
      </w:r>
      <w:r>
        <w:rPr>
          <w:rFonts w:ascii="Times New Roman" w:hAnsi="Times New Roman"/>
          <w:b/>
        </w:rPr>
        <w:t xml:space="preserve">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0" w:line="240" w:lineRule="auto"/>
        <w:ind w:firstLine="375"/>
        <w:jc w:val="both"/>
        <w:rPr>
          <w:rFonts w:ascii="Times New Roman" w:hAnsi="Times New Roman"/>
        </w:rPr>
      </w:pPr>
      <w:r>
        <w:rPr>
          <w:rFonts w:ascii="Times New Roman" w:hAnsi="Times New Roman"/>
        </w:rPr>
        <w:t>Цель настоящей Декларации — предоставить вам информацию об основных рисках, связанных с производными финансовыми инструментами.</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Данные инструменты (фьючерсы, форварды, опционы, свопы и др.) подходят не всем клиентам. Более того, некоторые виды производных финансовых инструментов сопряжены с </w:t>
      </w:r>
      <w:proofErr w:type="spellStart"/>
      <w:r>
        <w:rPr>
          <w:rFonts w:ascii="Times New Roman" w:hAnsi="Times New Roman"/>
        </w:rPr>
        <w:t>бо́льшим</w:t>
      </w:r>
      <w:proofErr w:type="spellEnd"/>
      <w:r>
        <w:rPr>
          <w:rFonts w:ascii="Times New Roman" w:hAnsi="Times New Roman"/>
        </w:rPr>
        <w:t xml:space="preserve"> уровнем риска, чем другие. Так, продажа опционных контрактов и заключение фьючерсных контрактов, форвардных контрактов и своп-контрактов при относительно небольших неблагоприятных колебаниях цен на рынке может подвергнуть вас риску значительных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spacing w:after="0" w:line="240" w:lineRule="auto"/>
        <w:ind w:firstLine="375"/>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они призваны ограничить, и убедитесь, что объем позиции на срочном рынке соответствует объему хеджируемой позиции на спот-рынке.</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w:t>
      </w:r>
      <w:r>
        <w:rPr>
          <w:rFonts w:ascii="Times New Roman" w:hAnsi="Times New Roman"/>
        </w:rPr>
        <w:t>. Рыночный риск</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вами договоров, являющихся производными финансовыми инструментами,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
    <w:p w:rsidR="00012458" w:rsidRDefault="00012458" w:rsidP="007C4CEA">
      <w:pPr>
        <w:spacing w:after="0" w:line="240" w:lineRule="auto"/>
        <w:ind w:firstLine="375"/>
        <w:jc w:val="both"/>
        <w:rPr>
          <w:rFonts w:ascii="Times New Roman" w:hAnsi="Times New Roman"/>
        </w:rPr>
      </w:pPr>
      <w:r>
        <w:rPr>
          <w:rFonts w:ascii="Times New Roman" w:hAnsi="Times New Roman"/>
        </w:rPr>
        <w:t>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При заключении договоров, являющихся производными финансовыми инструментами, вы должны учитывать, что возможность распоряжения активами, являющимися обеспечением по таким договорам, ограничена.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обязательств по указанному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вашим имуществом в большей степени, чем до заключения договора.</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Также необходимо учесть возможность принудительного закрытия позиции. 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который может быть недостаточен для вас. Обслуживающий вас  брокер в этом случае вправе без вашего дополнительного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Вы можете понести значительные убытки,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Размер указанных убытков при неблагоприятном стечении обстоятельств может превысить стоимость находящихся на вашем счету активов.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lang w:val="en-US"/>
        </w:rPr>
        <w:t>II</w:t>
      </w:r>
      <w:r>
        <w:rPr>
          <w:rFonts w:ascii="Times New Roman" w:hAnsi="Times New Roman"/>
        </w:rPr>
        <w:t xml:space="preserve">. Риск ликвидности </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Трудности с закрытием позиций и потери в цене могут привести к увеличению убытков от производных финансовых инструментов по сравнению с обычными сделками. </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 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убыткам.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spacing w:after="0" w:line="240" w:lineRule="auto"/>
        <w:ind w:firstLine="375"/>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spacing w:after="0" w:line="240" w:lineRule="auto"/>
        <w:ind w:firstLine="375"/>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spacing w:after="0" w:line="240" w:lineRule="auto"/>
        <w:ind w:firstLine="375"/>
        <w:jc w:val="both"/>
        <w:rPr>
          <w:rFonts w:ascii="Times New Roman" w:hAnsi="Times New Roman"/>
        </w:rPr>
      </w:pPr>
    </w:p>
    <w:p w:rsidR="00012458" w:rsidRDefault="00012458" w:rsidP="007C4CEA">
      <w:pPr>
        <w:spacing w:after="0" w:line="240" w:lineRule="auto"/>
        <w:ind w:firstLine="375"/>
        <w:jc w:val="both"/>
        <w:rPr>
          <w:rFonts w:ascii="Times New Roman" w:hAnsi="Times New Roman"/>
        </w:rPr>
      </w:pPr>
      <w:r>
        <w:rPr>
          <w:rFonts w:ascii="Times New Roman" w:hAnsi="Times New Roman"/>
        </w:rPr>
        <w:t>Операции с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влекут также риски, связанные с иностранным происхождением базисного актива.</w:t>
      </w:r>
    </w:p>
    <w:p w:rsidR="00766B73" w:rsidRDefault="00766B73" w:rsidP="00A34862">
      <w:pPr>
        <w:ind w:firstLine="250"/>
        <w:jc w:val="both"/>
        <w:rPr>
          <w:rFonts w:ascii="Times New Roman" w:hAnsi="Times New Roman"/>
          <w:color w:val="FF0000"/>
        </w:rPr>
      </w:pPr>
    </w:p>
    <w:p w:rsidR="00535BD6" w:rsidRPr="00313232" w:rsidRDefault="00535BD6" w:rsidP="00535BD6">
      <w:pPr>
        <w:ind w:firstLine="250"/>
        <w:jc w:val="both"/>
        <w:rPr>
          <w:rFonts w:ascii="Times New Roman" w:hAnsi="Times New Roman"/>
        </w:rPr>
      </w:pPr>
      <w:r w:rsidRPr="00313232">
        <w:rPr>
          <w:rFonts w:ascii="Times New Roman" w:hAnsi="Times New Roman"/>
          <w:lang w:val="en-US"/>
        </w:rPr>
        <w:t>III</w:t>
      </w:r>
      <w:r w:rsidRPr="00313232">
        <w:rPr>
          <w:rFonts w:ascii="Times New Roman" w:hAnsi="Times New Roman"/>
        </w:rPr>
        <w:t>. Правовые риски</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регулируется законодательством иностранных государств. В частности, для торговли некоторыми производными финансовыми инструментами в отдельных иностранных государствах необходимо являться квалифицированным инвестором. Определение квалифицированного инвестора, а также последствия квалификации (отсутствия квалификации) отличаются в разных странах. В основном, банки, страховые и инвестиционные компании признаются квалифицированными инвесторами в силу закона.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Торговля производными финансовыми инструментами на иностранных срочных рынках подходит не для всех инвесторов и сопряжена со значительными рисками убытков.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Вы должны отдавать себе отчет, что торгуя производными финансовыми инструментами на иностранных срочных рынках, Вы можете, как соответствовать </w:t>
      </w:r>
      <w:r w:rsidR="00F8548D" w:rsidRPr="00313232">
        <w:rPr>
          <w:rFonts w:ascii="Times New Roman" w:hAnsi="Times New Roman"/>
        </w:rPr>
        <w:t xml:space="preserve">или </w:t>
      </w:r>
      <w:r w:rsidRPr="00313232">
        <w:rPr>
          <w:rFonts w:ascii="Times New Roman" w:hAnsi="Times New Roman"/>
        </w:rPr>
        <w:t xml:space="preserve">признаваться, так и не соответствовать </w:t>
      </w:r>
      <w:r w:rsidR="00F8548D" w:rsidRPr="00313232">
        <w:rPr>
          <w:rFonts w:ascii="Times New Roman" w:hAnsi="Times New Roman"/>
        </w:rPr>
        <w:t xml:space="preserve">или не </w:t>
      </w:r>
      <w:r w:rsidRPr="00313232">
        <w:rPr>
          <w:rFonts w:ascii="Times New Roman" w:hAnsi="Times New Roman"/>
        </w:rPr>
        <w:t xml:space="preserve">признаваться </w:t>
      </w:r>
      <w:r w:rsidR="00F8548D" w:rsidRPr="00313232">
        <w:rPr>
          <w:rFonts w:ascii="Times New Roman" w:hAnsi="Times New Roman"/>
        </w:rPr>
        <w:t>соответствующим</w:t>
      </w:r>
      <w:r w:rsidRPr="00313232">
        <w:rPr>
          <w:rFonts w:ascii="Times New Roman" w:hAnsi="Times New Roman"/>
        </w:rPr>
        <w:t> критериям, установленным для квалифицированных инвесторов для целей иностранного законодательства, что может существенно ограничить Ваше право на судебную защиту в иностранных государствах.  </w:t>
      </w:r>
    </w:p>
    <w:p w:rsidR="006D417B" w:rsidRPr="00313232" w:rsidRDefault="006D417B" w:rsidP="006D417B">
      <w:pPr>
        <w:spacing w:after="100" w:afterAutospacing="1" w:line="240" w:lineRule="auto"/>
        <w:ind w:firstLine="375"/>
        <w:jc w:val="both"/>
        <w:rPr>
          <w:rFonts w:ascii="Times New Roman" w:hAnsi="Times New Roman"/>
        </w:rPr>
      </w:pPr>
      <w:r w:rsidRPr="00313232">
        <w:rPr>
          <w:rFonts w:ascii="Times New Roman" w:hAnsi="Times New Roman"/>
        </w:rPr>
        <w:t xml:space="preserve">Кроме того, при операциях производными финансовыми инструментами на иностранных срочных рынках Вы в большинстве случаев не сможете полагаться на защиту своих прав и законных интересов российскими уполномоченными органами и Вам может потребоваться обратиться в зарубежные судебные и правоохранительные органы по установленным правилам, которые могут существенно отличаться </w:t>
      </w:r>
      <w:proofErr w:type="gramStart"/>
      <w:r w:rsidRPr="00313232">
        <w:rPr>
          <w:rFonts w:ascii="Times New Roman" w:hAnsi="Times New Roman"/>
        </w:rPr>
        <w:t>от</w:t>
      </w:r>
      <w:proofErr w:type="gramEnd"/>
      <w:r w:rsidRPr="00313232">
        <w:rPr>
          <w:rFonts w:ascii="Times New Roman" w:hAnsi="Times New Roman"/>
        </w:rPr>
        <w:t xml:space="preserve"> действующих в России.</w:t>
      </w:r>
    </w:p>
    <w:p w:rsidR="00012458" w:rsidRDefault="006D417B" w:rsidP="006D417B">
      <w:pPr>
        <w:spacing w:after="100" w:afterAutospacing="1" w:line="240" w:lineRule="auto"/>
        <w:ind w:firstLine="375"/>
        <w:jc w:val="both"/>
        <w:rPr>
          <w:rFonts w:ascii="Times New Roman" w:hAnsi="Times New Roman"/>
        </w:rPr>
      </w:pPr>
      <w:r w:rsidRPr="006D417B">
        <w:rPr>
          <w:rFonts w:ascii="Times New Roman" w:hAnsi="Times New Roman"/>
          <w:color w:val="FF0000"/>
        </w:rPr>
        <w:t xml:space="preserve"> </w:t>
      </w:r>
      <w:r w:rsidR="00012458">
        <w:rPr>
          <w:rFonts w:ascii="Times New Roman" w:hAnsi="Times New Roman"/>
        </w:rPr>
        <w:t>***</w:t>
      </w:r>
    </w:p>
    <w:p w:rsidR="00012458" w:rsidRDefault="00012458" w:rsidP="007C4CEA">
      <w:pPr>
        <w:spacing w:after="0" w:line="240" w:lineRule="auto"/>
        <w:ind w:firstLine="375"/>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xml:space="preserve">,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w:t>
      </w:r>
      <w:r>
        <w:rPr>
          <w:rFonts w:ascii="Times New Roman" w:hAnsi="Times New Roman"/>
        </w:rPr>
        <w:lastRenderedPageBreak/>
        <w:t>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r>
        <w:rPr>
          <w:rFonts w:ascii="Times New Roman" w:hAnsi="Times New Roman"/>
        </w:rPr>
        <w:t>Убедитесь, что настоящая Декларация о рисках понятна вам, и при необходимости получите разъяснения у вашего брокера или консультанта, специализирующегося на соответствующих вопросах.</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Times New Roman" w:hAnsi="Times New Roman"/>
        </w:rPr>
      </w:pPr>
    </w:p>
    <w:p w:rsidR="0049677B" w:rsidRDefault="0049677B"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p>
    <w:p w:rsidR="00CE7EA9" w:rsidRDefault="00CE7EA9" w:rsidP="007C4CEA">
      <w:pPr>
        <w:spacing w:after="100" w:afterAutospacing="1"/>
        <w:jc w:val="both"/>
        <w:rPr>
          <w:rFonts w:ascii="Times New Roman" w:hAnsi="Times New Roman"/>
          <w:b/>
        </w:rPr>
      </w:pPr>
      <w:bookmarkStart w:id="0" w:name="_GoBack"/>
      <w:bookmarkEnd w:id="0"/>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 xml:space="preserve">Декларация о рисках, связанных с приобретением иностранных ценных бумаг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ind w:firstLine="250"/>
        <w:jc w:val="both"/>
        <w:rPr>
          <w:rFonts w:ascii="Times New Roman" w:hAnsi="Times New Roman"/>
        </w:rPr>
      </w:pPr>
      <w:r>
        <w:rPr>
          <w:rFonts w:ascii="Times New Roman" w:hAnsi="Times New Roman"/>
        </w:rPr>
        <w:t>Целью настоящей Декларации является предоставление клиенту информации о рисках, связанных с приобретением иностранных ценных бумаг. Иностранные ценные бумаги могут быть приобретены за рубежом или на российском, в том числе организованном, фондовом рынке.</w:t>
      </w:r>
    </w:p>
    <w:p w:rsidR="00012458" w:rsidRDefault="00012458" w:rsidP="007C4CEA">
      <w:pPr>
        <w:ind w:firstLine="250"/>
        <w:jc w:val="both"/>
        <w:rPr>
          <w:rFonts w:ascii="Times New Roman" w:hAnsi="Times New Roman"/>
        </w:rPr>
      </w:pPr>
      <w:r>
        <w:rPr>
          <w:rFonts w:ascii="Times New Roman" w:hAnsi="Times New Roman"/>
        </w:rPr>
        <w:t>Операциям с иностранными ценными бумагами присущи общие риски, связанные с операциями на рынке ценных бумаг со следующими особенностями.</w:t>
      </w:r>
    </w:p>
    <w:p w:rsidR="00012458" w:rsidRDefault="00012458" w:rsidP="007C4CEA">
      <w:pPr>
        <w:ind w:firstLine="250"/>
        <w:jc w:val="both"/>
        <w:rPr>
          <w:rFonts w:ascii="Times New Roman" w:hAnsi="Times New Roman"/>
        </w:rPr>
      </w:pPr>
      <w:r>
        <w:rPr>
          <w:rFonts w:ascii="Times New Roman" w:hAnsi="Times New Roman"/>
        </w:rPr>
        <w:t>Системные риски</w:t>
      </w:r>
    </w:p>
    <w:p w:rsidR="00012458" w:rsidRDefault="00012458" w:rsidP="007C4CEA">
      <w:pPr>
        <w:ind w:firstLine="250"/>
        <w:jc w:val="both"/>
        <w:rPr>
          <w:rFonts w:ascii="Times New Roman" w:hAnsi="Times New Roman"/>
        </w:rPr>
      </w:pPr>
      <w:r>
        <w:rPr>
          <w:rFonts w:ascii="Times New Roman" w:hAnsi="Times New Roman"/>
        </w:rPr>
        <w:t xml:space="preserve">Применительно к иностранным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бумаги.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иностранной ценной бумаге.</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в иностранную ценную бумагу является «суверенный рейтинг» в иностранной или национальной валюте, присвоенный стране, в которой зарегистрирован эмитент,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случае совершения сделок с иностранными депозитарными расписками помимо рисков, связанных с эмитентом самих расписок, необходимо учитывать и риски, связанные с эмитентом представляемых данными расписками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 xml:space="preserve">В настоящее время законодательство разрешает российскими инвесторами, в том числе не являющимися квалифицированными, приобретение допущенных к публичному размещению и (или) публичному обращению в Российской Федерации иностранных ценных </w:t>
      </w:r>
      <w:proofErr w:type="gramStart"/>
      <w:r>
        <w:rPr>
          <w:rFonts w:ascii="Times New Roman" w:hAnsi="Times New Roman"/>
        </w:rPr>
        <w:t>бумаг</w:t>
      </w:r>
      <w:proofErr w:type="gramEnd"/>
      <w:r>
        <w:rPr>
          <w:rFonts w:ascii="Times New Roman" w:hAnsi="Times New Roman"/>
        </w:rPr>
        <w:t xml:space="preserve"> как за рубежом, так и в России, а также позволяет учет прав на такие ценные бумаги российскими депозитариями. Между тем, существуют риски изменения регулятивных подходов к владению и операциям, а также к учету прав на иностранные финансовые инструменты, в результате чего может возникнуть необходимость по их отчуждению вопреки Вашим планам.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При приобретении иностранных ценных бумаг необходимо отдавать себе отчет в том, что они не всегда являются аналогами российских ценных бумаг. В любом случае, предоставляемые по ним права и правила их осуществления могут существенно отличаться от прав по российским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w:t>
      </w:r>
      <w:r>
        <w:rPr>
          <w:rFonts w:ascii="Times New Roman" w:hAnsi="Times New Roman"/>
        </w:rPr>
        <w:lastRenderedPageBreak/>
        <w:t>Кроме того,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Российское законодательство допускает раскрытие информации в отношении иностранных ценных бумаг по правилам, действующим за 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7C4CEA" w:rsidRDefault="007C4CEA" w:rsidP="007C4CEA">
      <w:pPr>
        <w:jc w:val="both"/>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jc w:val="both"/>
        <w:rPr>
          <w:rFonts w:ascii="Arial" w:hAnsi="Arial" w:cs="Arial"/>
          <w:sz w:val="20"/>
          <w:szCs w:val="20"/>
        </w:rPr>
      </w:pPr>
      <w:r>
        <w:rPr>
          <w:rFonts w:ascii="Arial" w:hAnsi="Arial" w:cs="Arial"/>
          <w:sz w:val="20"/>
          <w:szCs w:val="20"/>
        </w:rPr>
        <w:t>Дата:</w:t>
      </w: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line="240" w:lineRule="auto"/>
        <w:ind w:left="233" w:hanging="283"/>
        <w:jc w:val="both"/>
        <w:rPr>
          <w:rFonts w:ascii="Times New Roman" w:hAnsi="Times New Roman"/>
        </w:rPr>
      </w:pPr>
    </w:p>
    <w:p w:rsidR="00012458" w:rsidRDefault="00012458" w:rsidP="007C4CEA">
      <w:pPr>
        <w:spacing w:after="100" w:afterAutospacing="1"/>
        <w:jc w:val="both"/>
        <w:rPr>
          <w:rFonts w:ascii="Arial" w:eastAsia="Times New Roman" w:hAnsi="Arial" w:cs="Arial"/>
          <w:i/>
          <w:sz w:val="20"/>
          <w:szCs w:val="20"/>
          <w:lang w:eastAsia="ru-RU"/>
        </w:rPr>
      </w:pPr>
    </w:p>
    <w:p w:rsidR="0049677B" w:rsidRDefault="0049677B" w:rsidP="007C4CEA">
      <w:pPr>
        <w:spacing w:after="100" w:afterAutospacing="1"/>
        <w:jc w:val="both"/>
        <w:rPr>
          <w:rFonts w:ascii="Times New Roman" w:hAnsi="Times New Roman"/>
          <w:b/>
        </w:rPr>
      </w:pPr>
    </w:p>
    <w:p w:rsidR="00012458" w:rsidRDefault="00012458" w:rsidP="007C4CEA">
      <w:pPr>
        <w:spacing w:after="100" w:afterAutospacing="1"/>
        <w:jc w:val="center"/>
        <w:rPr>
          <w:rFonts w:ascii="Times New Roman" w:hAnsi="Times New Roman"/>
          <w:b/>
        </w:rPr>
      </w:pPr>
      <w:r>
        <w:rPr>
          <w:rFonts w:ascii="Times New Roman" w:hAnsi="Times New Roman"/>
          <w:b/>
        </w:rPr>
        <w:lastRenderedPageBreak/>
        <w:t xml:space="preserve">Декларация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ПАО «Бест </w:t>
      </w:r>
      <w:proofErr w:type="spellStart"/>
      <w:r>
        <w:rPr>
          <w:rFonts w:ascii="Times New Roman" w:hAnsi="Times New Roman"/>
          <w:b/>
        </w:rPr>
        <w:t>Эффортс</w:t>
      </w:r>
      <w:proofErr w:type="spellEnd"/>
      <w:r>
        <w:rPr>
          <w:rFonts w:ascii="Times New Roman" w:hAnsi="Times New Roman"/>
          <w:b/>
        </w:rPr>
        <w:t xml:space="preserve"> Банк»</w:t>
      </w:r>
    </w:p>
    <w:p w:rsidR="00012458" w:rsidRDefault="00012458" w:rsidP="007C4CEA">
      <w:pPr>
        <w:spacing w:after="100" w:afterAutospacing="1"/>
        <w:ind w:firstLine="250"/>
        <w:jc w:val="both"/>
        <w:rPr>
          <w:rFonts w:ascii="Times New Roman" w:hAnsi="Times New Roman"/>
        </w:rPr>
      </w:pPr>
      <w:r>
        <w:rPr>
          <w:rFonts w:ascii="Times New Roman" w:hAnsi="Times New Roman"/>
        </w:rPr>
        <w:t>Цель настоящей Декларации - предоставить Вам общую информацию об основных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(далее – производные финансовые инструменты с иностранным базисным активом). Заключение указанных договоров связано с рисками, характерными для всех производных финансовых инструментов, а также специфическими рисками, обусловленными иностранным происхождением базисного актива.</w:t>
      </w:r>
    </w:p>
    <w:p w:rsidR="00012458" w:rsidRDefault="00012458" w:rsidP="007C4CEA">
      <w:pPr>
        <w:spacing w:after="100" w:afterAutospacing="1"/>
        <w:jc w:val="both"/>
        <w:rPr>
          <w:rFonts w:ascii="Times New Roman" w:hAnsi="Times New Roman"/>
          <w:b/>
        </w:rPr>
      </w:pPr>
      <w:r>
        <w:rPr>
          <w:rFonts w:ascii="Times New Roman" w:hAnsi="Times New Roman"/>
          <w:b/>
        </w:rPr>
        <w:t>Риски, связанные производными финансовыми инструментами</w:t>
      </w:r>
    </w:p>
    <w:p w:rsidR="00012458" w:rsidRDefault="00012458" w:rsidP="007C4CEA">
      <w:pPr>
        <w:ind w:firstLine="250"/>
        <w:jc w:val="both"/>
        <w:rPr>
          <w:rFonts w:ascii="Times New Roman" w:hAnsi="Times New Roman"/>
        </w:rPr>
      </w:pPr>
      <w:r>
        <w:rPr>
          <w:rFonts w:ascii="Times New Roman" w:hAnsi="Times New Roman"/>
        </w:rPr>
        <w:t>Данные инструменты подходят не всем клиентам. Более того, некоторые виды производных финансовых инструментов сопряжены с большим уровнем риска, чем другие. Так, при покупке опционного контракта потери клиента не превысят величину уплаченных премии, вознаграждения и расходов, связанных с их совершением. Продажа опционных контрактов с точки зрения риска клиента и заключение фьючерсных контрактов, форвардных контрактов и своп контрактов сопоставимы - при относительно небольших неблагоприятных колебаниях цен на рынке Вы подвергаетесь риску значительных убытков, при этом в случае продажи фьючерсных и форвардных контрактов и продажи опционов на покупку (опционов «колл») неограниченных убытков. С учетом этого, совершение сделок по продаже опционных контрактов и заключение фьючерсных и форвардных контрактов может быть рекомендовано только опытным инвесторам, обладающим значительными финансовыми возможностями и практическими знаниями в области применения инвестиционных стратегий.</w:t>
      </w:r>
    </w:p>
    <w:p w:rsidR="00012458" w:rsidRDefault="00012458" w:rsidP="007C4CEA">
      <w:pPr>
        <w:ind w:firstLine="250"/>
        <w:jc w:val="both"/>
        <w:rPr>
          <w:rFonts w:ascii="Times New Roman" w:hAnsi="Times New Roman"/>
        </w:rPr>
      </w:pPr>
      <w:r>
        <w:rPr>
          <w:rFonts w:ascii="Times New Roman" w:hAnsi="Times New Roman"/>
        </w:rPr>
        <w:t>Настоящая декларация относится также и к производным финансовым инструментам, направленным на снижение рисков других операций на фондовом рынке. Внимательно оцените, как Ваши производные финансовые инструменты соотносятся с операциями, риски по которым Вы намерены ограничить, и убедитесь, что объем Вашей позиции на срочном рынке соответствует объему позиции на спот рынке, которую Вы хеджируете.</w:t>
      </w:r>
    </w:p>
    <w:p w:rsidR="00012458" w:rsidRDefault="00012458" w:rsidP="007C4CEA">
      <w:pPr>
        <w:ind w:firstLine="250"/>
        <w:jc w:val="both"/>
        <w:rPr>
          <w:rFonts w:ascii="Times New Roman" w:hAnsi="Times New Roman"/>
        </w:rPr>
      </w:pPr>
      <w:r>
        <w:rPr>
          <w:rFonts w:ascii="Times New Roman" w:hAnsi="Times New Roman"/>
        </w:rPr>
        <w:t>Рыночный (ценовой) риск</w:t>
      </w:r>
    </w:p>
    <w:p w:rsidR="00012458" w:rsidRDefault="00012458" w:rsidP="007C4CEA">
      <w:pPr>
        <w:ind w:firstLine="250"/>
        <w:jc w:val="both"/>
        <w:rPr>
          <w:rFonts w:ascii="Times New Roman" w:hAnsi="Times New Roman"/>
        </w:rPr>
      </w:pPr>
      <w:proofErr w:type="gramStart"/>
      <w:r>
        <w:rPr>
          <w:rFonts w:ascii="Times New Roman" w:hAnsi="Times New Roman"/>
        </w:rPr>
        <w:t>Помимо общего рыночного (ценового) риска, который несет клиент, совершающий операции на рынке ценных бумаг, Вы, в случае заключения фьючерсных, форвардных и своп договоров (контрактов), а также в случае продажи опционных контрактов, будете нести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w:t>
      </w:r>
      <w:proofErr w:type="gramEnd"/>
    </w:p>
    <w:p w:rsidR="00012458" w:rsidRDefault="00012458" w:rsidP="007C4CEA">
      <w:pPr>
        <w:ind w:firstLine="250"/>
        <w:jc w:val="both"/>
        <w:rPr>
          <w:rFonts w:ascii="Times New Roman" w:hAnsi="Times New Roman"/>
        </w:rPr>
      </w:pPr>
      <w:r>
        <w:rPr>
          <w:rFonts w:ascii="Times New Roman" w:hAnsi="Times New Roman"/>
        </w:rPr>
        <w:t xml:space="preserve">В случае неблагоприятного изменения цены Вы можете в сравнительно короткий срок потерять средства, являющиеся обеспечением производных финансовых инструментов. </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Риск ликвидности </w:t>
      </w:r>
    </w:p>
    <w:p w:rsidR="00012458" w:rsidRDefault="00012458" w:rsidP="007C4CEA">
      <w:pPr>
        <w:ind w:firstLine="250"/>
        <w:jc w:val="both"/>
        <w:rPr>
          <w:rFonts w:ascii="Times New Roman" w:hAnsi="Times New Roman"/>
        </w:rPr>
      </w:pPr>
      <w:r>
        <w:rPr>
          <w:rFonts w:ascii="Times New Roman" w:hAnsi="Times New Roman"/>
        </w:rPr>
        <w:t xml:space="preserve">Если Ваша инвестиционная стратегия предусматривает возможность возникновения необходимости закрытия позиции по соответствующему контракту (или заключения сделки с </w:t>
      </w:r>
      <w:r>
        <w:rPr>
          <w:rFonts w:ascii="Times New Roman" w:hAnsi="Times New Roman"/>
        </w:rPr>
        <w:lastRenderedPageBreak/>
        <w:t>иным контрактом, которая снижает риск по данному контракту), обращайте внимание на ликвидность соответствующих контрактов, так как закрытие позиций по неликвидным контрактам может привести к значительным дополнительным убыткам в связи с их низкой ликвидностью. Обратите внимание, что, как правило, контракты с более отдаленными сроками исполнения менее ликвидны по сравнению с контрактами с близкими сроками исполнения.</w:t>
      </w:r>
    </w:p>
    <w:p w:rsidR="00012458" w:rsidRDefault="00012458" w:rsidP="007C4CEA">
      <w:pPr>
        <w:ind w:firstLine="250"/>
        <w:jc w:val="both"/>
        <w:rPr>
          <w:rFonts w:ascii="Times New Roman" w:hAnsi="Times New Roman"/>
        </w:rPr>
      </w:pPr>
      <w:r>
        <w:rPr>
          <w:rFonts w:ascii="Times New Roman" w:hAnsi="Times New Roman"/>
        </w:rPr>
        <w:t>Если заключенный Вами договор, являющийся производным финансовым инструментом, неликвиден, и у Вас возникла необходимость закрыть позицию, обязательно рассматривайте помимо закрытия позиции по данному контракту альтернативные варианты исключения риска посредством заключения сделок с иными производными финансовыми инструментами или с базисными активами. Использование альтернативных вариантов может привести к меньшим убыткам.</w:t>
      </w:r>
    </w:p>
    <w:p w:rsidR="00012458" w:rsidRDefault="00012458" w:rsidP="007C4CEA">
      <w:pPr>
        <w:ind w:firstLine="250"/>
        <w:jc w:val="both"/>
        <w:rPr>
          <w:rFonts w:ascii="Times New Roman" w:hAnsi="Times New Roman"/>
        </w:rPr>
      </w:pPr>
      <w:r>
        <w:rPr>
          <w:rFonts w:ascii="Times New Roman" w:hAnsi="Times New Roman"/>
        </w:rPr>
        <w:t xml:space="preserve">При этом трудности с закрытием позиций  и потери в цене могут привести к увеличению убытков по сравнению с обычными сделками. </w:t>
      </w:r>
    </w:p>
    <w:p w:rsidR="00012458" w:rsidRDefault="00012458" w:rsidP="007C4CEA">
      <w:pPr>
        <w:ind w:firstLine="250"/>
        <w:jc w:val="both"/>
        <w:rPr>
          <w:rFonts w:ascii="Times New Roman" w:hAnsi="Times New Roman"/>
        </w:rPr>
      </w:pPr>
      <w:r>
        <w:rPr>
          <w:rFonts w:ascii="Times New Roman" w:hAnsi="Times New Roman"/>
        </w:rPr>
        <w:t>Ваши поручения, направленные на ограничение убытков, не всегда могут ограничить потери до предполагаемого уровня, так как в рамках складывающейся на рынке ситуации исполнение такого поручения по указанной Вами цене может оказаться невозможным.</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 xml:space="preserve">Ограничение распоряжения средствами, являющимися обеспечением  </w:t>
      </w:r>
    </w:p>
    <w:p w:rsidR="00012458" w:rsidRDefault="00012458" w:rsidP="007C4CEA">
      <w:pPr>
        <w:ind w:firstLine="250"/>
        <w:jc w:val="both"/>
        <w:rPr>
          <w:rFonts w:ascii="Times New Roman" w:hAnsi="Times New Roman"/>
        </w:rPr>
      </w:pPr>
      <w:r>
        <w:rPr>
          <w:rFonts w:ascii="Times New Roman" w:hAnsi="Times New Roman"/>
        </w:rPr>
        <w:t>Имущество (часть имущества), принадлежащее Вам, в результате заключения договора, являющегося производным финансовым инструментом, будет являться обеспечением исполнения Ваших обязательств по договору и распоряжение им, то есть возможность совершения Вами сделок с ним, будет ограничено. Размер обеспечения изменяется в порядке, предусмотренном договором (спецификацией контракта), и в результате Вы можете быть ограничены в возможности распоряжаться своим имуществом в большей степени, чем до заключения договора.</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Риск принудительного закрытия позиции</w:t>
      </w:r>
    </w:p>
    <w:p w:rsidR="00012458" w:rsidRDefault="00012458" w:rsidP="007C4CEA">
      <w:pPr>
        <w:ind w:firstLine="250"/>
        <w:jc w:val="both"/>
        <w:rPr>
          <w:rFonts w:ascii="Times New Roman" w:hAnsi="Times New Roman"/>
        </w:rPr>
      </w:pPr>
      <w:r>
        <w:rPr>
          <w:rFonts w:ascii="Times New Roman" w:hAnsi="Times New Roman"/>
        </w:rPr>
        <w:t>Неблагоприятное изменение цены может привести к необходимости внести дополнительные средства для того, чтобы привести обеспечение в соответствие с требованиями нормативных актов и брокерского договора, что должно быть сделано в короткий срок, которого может быть недостаточно для Вас. Ваш брокер в этом случае вправе без Вашего дополнительного согласия «принудительно закрыть позицию», то есть заключить договор, являющийся производным финансовым инструментом, или приобрести ценные бумаги за счет Ваших денежных средств, или продать Ваши ценные бумаги. Это может быть сделано по существующим, в том числе невыгодным, ценам и привести к возникновению у Вас убытков.</w:t>
      </w:r>
    </w:p>
    <w:p w:rsidR="00012458" w:rsidRDefault="00012458" w:rsidP="007C4CEA">
      <w:pPr>
        <w:ind w:firstLine="250"/>
        <w:jc w:val="both"/>
        <w:rPr>
          <w:rFonts w:ascii="Times New Roman" w:hAnsi="Times New Roman"/>
        </w:rPr>
      </w:pPr>
      <w:r>
        <w:rPr>
          <w:rFonts w:ascii="Times New Roman" w:hAnsi="Times New Roman"/>
        </w:rPr>
        <w:t xml:space="preserve">Принудительное закрытие позиции направлено на управление рисками. Вы можете понести значительные </w:t>
      </w:r>
      <w:proofErr w:type="gramStart"/>
      <w:r>
        <w:rPr>
          <w:rFonts w:ascii="Times New Roman" w:hAnsi="Times New Roman"/>
        </w:rPr>
        <w:t>убытки</w:t>
      </w:r>
      <w:proofErr w:type="gramEnd"/>
      <w:r>
        <w:rPr>
          <w:rFonts w:ascii="Times New Roman" w:hAnsi="Times New Roman"/>
        </w:rPr>
        <w:t xml:space="preserve"> несмотря на то, что после этого изменение цен на финансовые инструменты может принять благоприятное для Вас направление и Вы получили бы доход, если бы Ваша позиция не была закрыта. </w:t>
      </w:r>
    </w:p>
    <w:p w:rsidR="00012458" w:rsidRDefault="00012458"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E50143" w:rsidRDefault="00E50143" w:rsidP="007C4CEA">
      <w:pPr>
        <w:ind w:firstLine="250"/>
        <w:jc w:val="both"/>
        <w:rPr>
          <w:rFonts w:ascii="Times New Roman" w:hAnsi="Times New Roman"/>
          <w:b/>
        </w:rPr>
      </w:pPr>
    </w:p>
    <w:p w:rsidR="00012458" w:rsidRDefault="00012458" w:rsidP="007C4CEA">
      <w:pPr>
        <w:ind w:firstLine="250"/>
        <w:jc w:val="both"/>
        <w:rPr>
          <w:rFonts w:ascii="Times New Roman" w:hAnsi="Times New Roman"/>
          <w:b/>
        </w:rPr>
      </w:pPr>
      <w:r>
        <w:rPr>
          <w:rFonts w:ascii="Times New Roman" w:hAnsi="Times New Roman"/>
          <w:b/>
        </w:rPr>
        <w:lastRenderedPageBreak/>
        <w:t>Риски, обусловленные иностранным происхождением базисного актива</w:t>
      </w:r>
    </w:p>
    <w:p w:rsidR="00012458" w:rsidRDefault="00012458" w:rsidP="007C4CEA">
      <w:pPr>
        <w:spacing w:after="100" w:afterAutospacing="1"/>
        <w:ind w:firstLine="250"/>
        <w:jc w:val="both"/>
        <w:rPr>
          <w:rFonts w:ascii="Times New Roman" w:hAnsi="Times New Roman"/>
        </w:rPr>
      </w:pPr>
      <w:r>
        <w:rPr>
          <w:rFonts w:ascii="Times New Roman" w:hAnsi="Times New Roman"/>
        </w:rPr>
        <w:t>Системные риски</w:t>
      </w:r>
    </w:p>
    <w:p w:rsidR="00012458" w:rsidRDefault="00012458" w:rsidP="007C4CEA">
      <w:pPr>
        <w:spacing w:after="100" w:afterAutospacing="1"/>
        <w:ind w:firstLine="250"/>
        <w:jc w:val="both"/>
        <w:rPr>
          <w:rFonts w:ascii="Times New Roman" w:hAnsi="Times New Roman"/>
        </w:rPr>
      </w:pPr>
      <w:r>
        <w:rPr>
          <w:rFonts w:ascii="Times New Roman" w:hAnsi="Times New Roman"/>
        </w:rPr>
        <w:t xml:space="preserve">Применительно к базисному активу производных финансовых инструментов – ценным бумагам иностранных эмитентов и индексам, рассчитанным по таким ценным бумагам, системные риски, свойственные российскому фондовому рынку дополняются аналогичными системными рисками, свойственными стране, где выпущены или обращаются соответствующие иностранные ценные бумаг. К основным факторам, влияющим на уровень системного риска в целом, относятся политическая ситуация, особенности национального законодательства, валютного регулирования и вероятность их изменения, состояние государственных финансов, наличие и степень </w:t>
      </w:r>
      <w:proofErr w:type="gramStart"/>
      <w:r>
        <w:rPr>
          <w:rFonts w:ascii="Times New Roman" w:hAnsi="Times New Roman"/>
        </w:rPr>
        <w:t>развитости финансовой системы страны места нахождения</w:t>
      </w:r>
      <w:proofErr w:type="gramEnd"/>
      <w:r>
        <w:rPr>
          <w:rFonts w:ascii="Times New Roman" w:hAnsi="Times New Roman"/>
        </w:rPr>
        <w:t xml:space="preserve"> лица, обязанного по иностранным ценным бумагам.</w:t>
      </w:r>
    </w:p>
    <w:p w:rsidR="00012458" w:rsidRDefault="00012458" w:rsidP="007C4CEA">
      <w:pPr>
        <w:ind w:firstLine="250"/>
        <w:jc w:val="both"/>
        <w:rPr>
          <w:rFonts w:ascii="Times New Roman" w:hAnsi="Times New Roman"/>
        </w:rPr>
      </w:pPr>
      <w:r>
        <w:rPr>
          <w:rFonts w:ascii="Times New Roman" w:hAnsi="Times New Roman"/>
        </w:rPr>
        <w:t xml:space="preserve">На уровень системного риска могут оказывать влияние и многие другие факторы,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 </w:t>
      </w:r>
      <w:proofErr w:type="gramStart"/>
      <w:r>
        <w:rPr>
          <w:rFonts w:ascii="Times New Roman" w:hAnsi="Times New Roman"/>
        </w:rPr>
        <w:t>Общепринятой интегральной оценкой системного риска инвестиций является «суверенный рейтинг» в иностранной или национальной валюте, присвоенный стране, в которой зарегистрирован эмитент иностранной ценной бумаги, международными рейтинговыми агентствами MOODY’S, STANDARD &amp; POOR'S, FITCH IBCA, однако следует иметь в виду, что рейтинги являются лишь ориентирами и могут в конкретный момент не соответствовать реальной ситуации.</w:t>
      </w:r>
      <w:proofErr w:type="gramEnd"/>
    </w:p>
    <w:p w:rsidR="00012458" w:rsidRDefault="00012458" w:rsidP="007C4CEA">
      <w:pPr>
        <w:ind w:firstLine="250"/>
        <w:jc w:val="both"/>
        <w:rPr>
          <w:rFonts w:ascii="Times New Roman" w:hAnsi="Times New Roman"/>
        </w:rPr>
      </w:pPr>
      <w:r>
        <w:rPr>
          <w:rFonts w:ascii="Times New Roman" w:hAnsi="Times New Roman"/>
        </w:rPr>
        <w:t>В настоящее время законодательство допускает возможность заключения российскими инвесторами договоров, являющихся российскими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Между тем, существуют риски изменения регулятивных подходов к соответствующим операциям, в результате чего может возникнуть необходимость совершать сделки, направленные на прекращение обязательств по указанным договорам, вопреки Вашим планам.</w:t>
      </w:r>
    </w:p>
    <w:p w:rsidR="00012458" w:rsidRDefault="00012458" w:rsidP="007C4CEA">
      <w:pPr>
        <w:ind w:firstLine="250"/>
        <w:jc w:val="both"/>
        <w:rPr>
          <w:rFonts w:ascii="Times New Roman" w:hAnsi="Times New Roman"/>
        </w:rPr>
      </w:pPr>
      <w:r>
        <w:rPr>
          <w:rFonts w:ascii="Times New Roman" w:hAnsi="Times New Roman"/>
        </w:rPr>
        <w:t>Правовые риски</w:t>
      </w:r>
    </w:p>
    <w:p w:rsidR="00012458" w:rsidRDefault="00012458" w:rsidP="007C4CEA">
      <w:pPr>
        <w:ind w:firstLine="250"/>
        <w:jc w:val="both"/>
        <w:rPr>
          <w:rFonts w:ascii="Times New Roman" w:hAnsi="Times New Roman"/>
        </w:rPr>
      </w:pPr>
      <w:r>
        <w:rPr>
          <w:rFonts w:ascii="Times New Roman" w:hAnsi="Times New Roman"/>
        </w:rPr>
        <w:t>Необходимо отдавать себе отчет в том, что иностранные финансовые инструменты, являющиеся базисными активами производных финансовых инструментов, не всегда являются аналогами российских финансовых инструментов. В любом случае, предоставляемые по ним права и правила их осуществления могут существенно отличаться от прав по российским финансовым инструментам.</w:t>
      </w:r>
    </w:p>
    <w:p w:rsidR="00012458" w:rsidRDefault="00012458" w:rsidP="007C4CEA">
      <w:pPr>
        <w:ind w:firstLine="250"/>
        <w:jc w:val="both"/>
        <w:rPr>
          <w:rFonts w:ascii="Times New Roman" w:hAnsi="Times New Roman"/>
        </w:rPr>
      </w:pPr>
      <w:r>
        <w:rPr>
          <w:rFonts w:ascii="Times New Roman" w:hAnsi="Times New Roman"/>
        </w:rPr>
        <w:t xml:space="preserve">Возможности судебной защиты прав по производным финансовым инструментам с иностранным базисным активом могут быть существенно ограничены необходимостью обращения в зарубежные судебные и правоохранительные органы по установленным правилам, которые могут существенно отличаться </w:t>
      </w:r>
      <w:proofErr w:type="gramStart"/>
      <w:r>
        <w:rPr>
          <w:rFonts w:ascii="Times New Roman" w:hAnsi="Times New Roman"/>
        </w:rPr>
        <w:t>от</w:t>
      </w:r>
      <w:proofErr w:type="gramEnd"/>
      <w:r>
        <w:rPr>
          <w:rFonts w:ascii="Times New Roman" w:hAnsi="Times New Roman"/>
        </w:rPr>
        <w:t xml:space="preserve"> действующих в России. Кроме того, Вы в большинстве случаев не сможете полагаться на защиту своих прав и законных интересов российскими уполномоченными органами.</w:t>
      </w:r>
    </w:p>
    <w:p w:rsidR="00012458" w:rsidRDefault="00012458" w:rsidP="007C4CEA">
      <w:pPr>
        <w:ind w:firstLine="250"/>
        <w:jc w:val="both"/>
        <w:rPr>
          <w:rFonts w:ascii="Times New Roman" w:hAnsi="Times New Roman"/>
        </w:rPr>
      </w:pPr>
    </w:p>
    <w:p w:rsidR="00012458" w:rsidRDefault="00012458" w:rsidP="007C4CEA">
      <w:pPr>
        <w:ind w:firstLine="250"/>
        <w:jc w:val="both"/>
        <w:rPr>
          <w:rFonts w:ascii="Times New Roman" w:hAnsi="Times New Roman"/>
        </w:rPr>
      </w:pPr>
      <w:r>
        <w:rPr>
          <w:rFonts w:ascii="Times New Roman" w:hAnsi="Times New Roman"/>
        </w:rPr>
        <w:t>Раскрытие информации</w:t>
      </w:r>
    </w:p>
    <w:p w:rsidR="00012458" w:rsidRDefault="00012458" w:rsidP="007C4CEA">
      <w:pPr>
        <w:ind w:firstLine="250"/>
        <w:jc w:val="both"/>
        <w:rPr>
          <w:rFonts w:ascii="Times New Roman" w:hAnsi="Times New Roman"/>
        </w:rPr>
      </w:pPr>
      <w:r>
        <w:rPr>
          <w:rFonts w:ascii="Times New Roman" w:hAnsi="Times New Roman"/>
        </w:rPr>
        <w:t xml:space="preserve">Раскрытие информации в отношении иностранных ценных бумаг, являющихся базисным активом производных финансовых инструментов, осуществляется по правилам, действующим за </w:t>
      </w:r>
      <w:r>
        <w:rPr>
          <w:rFonts w:ascii="Times New Roman" w:hAnsi="Times New Roman"/>
        </w:rPr>
        <w:lastRenderedPageBreak/>
        <w:t>рубежом, и на английском языке. Оцените свою готовность анализировать информацию на английском языке, а также то, понимаете ли Вы отличия между принятыми в России правилами финансовой отчетности, Международными стандартами финансовой отчетности или правилами финансовой отчетности, по которым публикуется информация эмитентом иностранных ценных бумаг.</w:t>
      </w:r>
    </w:p>
    <w:p w:rsidR="00012458" w:rsidRDefault="00012458" w:rsidP="007C4CEA">
      <w:pPr>
        <w:ind w:firstLine="250"/>
        <w:jc w:val="both"/>
        <w:rPr>
          <w:rFonts w:ascii="Times New Roman" w:hAnsi="Times New Roman"/>
        </w:rPr>
      </w:pPr>
      <w:r>
        <w:rPr>
          <w:rFonts w:ascii="Times New Roman" w:hAnsi="Times New Roman"/>
        </w:rPr>
        <w:t>Также российские организаторы торговли и (или) брокеры могут осуществлять перевод некоторых документов (информации), раскрываемых иностранным эмитентом для Вашего удобства. В этом случае перевод может восприниматься исключительно как вспомогательная информация к официально раскрытым документам (информации) на иностранном языке. Всегда учитывайте вероятность ошибок переводчика, в том числе  связанных с возможным различным переводом одних и тех же иностранных слов и фраз или отсутствием общепринятого русского эквивалента.</w:t>
      </w:r>
    </w:p>
    <w:p w:rsidR="00012458" w:rsidRDefault="00012458" w:rsidP="007C4CEA">
      <w:pPr>
        <w:spacing w:before="240"/>
        <w:ind w:firstLine="250"/>
        <w:jc w:val="both"/>
        <w:rPr>
          <w:rFonts w:ascii="Times New Roman" w:hAnsi="Times New Roman"/>
        </w:rPr>
      </w:pPr>
      <w:r>
        <w:rPr>
          <w:rFonts w:ascii="Times New Roman" w:hAnsi="Times New Roman"/>
        </w:rPr>
        <w:t>***</w:t>
      </w:r>
    </w:p>
    <w:p w:rsidR="00012458" w:rsidRDefault="00012458" w:rsidP="007C4CEA">
      <w:pPr>
        <w:spacing w:line="240" w:lineRule="auto"/>
        <w:ind w:left="233" w:hanging="283"/>
        <w:jc w:val="both"/>
        <w:rPr>
          <w:rFonts w:ascii="Times New Roman" w:hAnsi="Times New Roman"/>
        </w:rPr>
      </w:pPr>
      <w:r>
        <w:rPr>
          <w:rFonts w:ascii="Times New Roman" w:hAnsi="Times New Roman"/>
        </w:rPr>
        <w:t xml:space="preserve">Учитывая </w:t>
      </w:r>
      <w:proofErr w:type="gramStart"/>
      <w:r>
        <w:rPr>
          <w:rFonts w:ascii="Times New Roman" w:hAnsi="Times New Roman"/>
        </w:rPr>
        <w:t>вышеизложенное</w:t>
      </w:r>
      <w:proofErr w:type="gramEnd"/>
      <w:r>
        <w:rPr>
          <w:rFonts w:ascii="Times New Roman" w:hAnsi="Times New Roman"/>
        </w:rPr>
        <w:t>, мы рекомендуем Вам внимательно рассмотреть вопрос о том, являются ли риски, возникающие при проведении соответствующих операций, приемлемыми для Вас с учетом Ваших инвестиционных целей и финансовых возможностей. Данная Декларация не имеет своей целью заставить Вас отказаться от осуществления таких операций,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w:t>
      </w:r>
    </w:p>
    <w:p w:rsidR="00012458" w:rsidRDefault="00012458" w:rsidP="00012458">
      <w:pPr>
        <w:spacing w:line="240" w:lineRule="auto"/>
        <w:ind w:left="233" w:hanging="283"/>
        <w:jc w:val="right"/>
        <w:rPr>
          <w:rFonts w:ascii="Times New Roman" w:hAnsi="Times New Roman"/>
        </w:rPr>
      </w:pPr>
    </w:p>
    <w:p w:rsidR="007C4CEA" w:rsidRDefault="007C4CEA" w:rsidP="007C4CEA">
      <w:pPr>
        <w:rPr>
          <w:rFonts w:ascii="Arial" w:hAnsi="Arial" w:cs="Arial"/>
          <w:sz w:val="20"/>
          <w:szCs w:val="20"/>
        </w:rPr>
      </w:pPr>
      <w:r>
        <w:rPr>
          <w:rFonts w:ascii="Arial" w:hAnsi="Arial" w:cs="Arial"/>
          <w:sz w:val="20"/>
          <w:szCs w:val="20"/>
        </w:rPr>
        <w:t>Подпись Клиента:____________________________________________________________________________</w:t>
      </w:r>
    </w:p>
    <w:p w:rsidR="007C4CEA" w:rsidRDefault="007C4CEA" w:rsidP="007C4CEA">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7C4CEA" w:rsidRDefault="007C4CEA" w:rsidP="007C4CEA">
      <w:pPr>
        <w:rPr>
          <w:rFonts w:ascii="Arial" w:hAnsi="Arial" w:cs="Arial"/>
          <w:sz w:val="20"/>
          <w:szCs w:val="20"/>
        </w:rPr>
      </w:pPr>
      <w:r>
        <w:rPr>
          <w:rFonts w:ascii="Arial" w:hAnsi="Arial" w:cs="Arial"/>
          <w:sz w:val="20"/>
          <w:szCs w:val="20"/>
        </w:rPr>
        <w:t>Дата:</w:t>
      </w:r>
    </w:p>
    <w:p w:rsidR="00B41AED" w:rsidRDefault="00B41AED"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B41AED">
      <w:pPr>
        <w:pStyle w:val="a3"/>
        <w:tabs>
          <w:tab w:val="clear" w:pos="2160"/>
        </w:tabs>
        <w:ind w:left="0" w:firstLine="284"/>
        <w:rPr>
          <w:rFonts w:ascii="Arial" w:hAnsi="Arial" w:cs="Arial"/>
        </w:rPr>
      </w:pPr>
    </w:p>
    <w:p w:rsidR="00E50143" w:rsidRDefault="00E50143" w:rsidP="00A50CFF">
      <w:pPr>
        <w:pStyle w:val="a3"/>
        <w:tabs>
          <w:tab w:val="clear" w:pos="2160"/>
        </w:tabs>
        <w:ind w:left="0" w:firstLine="0"/>
        <w:rPr>
          <w:rFonts w:ascii="Arial" w:hAnsi="Arial" w:cs="Arial"/>
        </w:rPr>
      </w:pPr>
    </w:p>
    <w:p w:rsidR="00E50143" w:rsidRPr="00E50143" w:rsidRDefault="00E50143" w:rsidP="00E50143">
      <w:pPr>
        <w:ind w:firstLine="250"/>
        <w:jc w:val="both"/>
        <w:rPr>
          <w:rFonts w:ascii="Times New Roman" w:hAnsi="Times New Roman"/>
          <w:b/>
        </w:rPr>
      </w:pPr>
      <w:r w:rsidRPr="00E50143">
        <w:rPr>
          <w:rFonts w:ascii="Times New Roman" w:hAnsi="Times New Roman"/>
          <w:b/>
        </w:rPr>
        <w:lastRenderedPageBreak/>
        <w:t>Декларация о рисках, связанных с приобретением ценных бумаг, включенных в</w:t>
      </w:r>
      <w:proofErr w:type="gramStart"/>
      <w:r w:rsidRPr="00E50143">
        <w:rPr>
          <w:rFonts w:ascii="Times New Roman" w:hAnsi="Times New Roman"/>
          <w:b/>
        </w:rPr>
        <w:t xml:space="preserve"> Т</w:t>
      </w:r>
      <w:proofErr w:type="gramEnd"/>
      <w:r w:rsidRPr="00E50143">
        <w:rPr>
          <w:rFonts w:ascii="Times New Roman" w:hAnsi="Times New Roman"/>
          <w:b/>
        </w:rPr>
        <w:t>ретий уровень, с объемом выпуска не более 1 млрд. руб., без кредитного рейтинга, присвоенного кредитным рейтинговым агентством эмитенту и/или выпуску</w:t>
      </w:r>
      <w:r w:rsidRPr="00E50143">
        <w:rPr>
          <w:rFonts w:ascii="Arial" w:hAnsi="Arial" w:cs="Arial"/>
          <w:b/>
          <w:bCs/>
          <w:color w:val="333333"/>
        </w:rPr>
        <w:t xml:space="preserve"> </w:t>
      </w:r>
      <w:r>
        <w:rPr>
          <w:rFonts w:ascii="Arial" w:hAnsi="Arial" w:cs="Arial"/>
          <w:b/>
          <w:bCs/>
          <w:color w:val="333333"/>
        </w:rPr>
        <w:t>(</w:t>
      </w:r>
      <w:r w:rsidRPr="00E50143">
        <w:rPr>
          <w:rFonts w:ascii="Times New Roman" w:hAnsi="Times New Roman"/>
          <w:b/>
        </w:rPr>
        <w:t>Сектор компаний повышенного инвестиционного риска</w:t>
      </w:r>
      <w:r>
        <w:rPr>
          <w:rFonts w:ascii="Times New Roman" w:hAnsi="Times New Roman"/>
          <w:b/>
        </w:rPr>
        <w:t>)</w:t>
      </w:r>
      <w:r w:rsidRPr="00E50143">
        <w:rPr>
          <w:rFonts w:ascii="Times New Roman" w:hAnsi="Times New Roman"/>
          <w:b/>
        </w:rPr>
        <w:t xml:space="preserve"> </w:t>
      </w:r>
    </w:p>
    <w:p w:rsidR="00A50CFF" w:rsidRDefault="00E50143" w:rsidP="00B41AED">
      <w:pPr>
        <w:pStyle w:val="a3"/>
        <w:tabs>
          <w:tab w:val="clear" w:pos="2160"/>
        </w:tabs>
        <w:ind w:left="0" w:firstLine="284"/>
      </w:pPr>
      <w:proofErr w:type="gramStart"/>
      <w:r>
        <w:t xml:space="preserve">Настоящая Декларация содержит в себе описание рисков, связанных с инвестированием средств в ценные бумаги, включенные в </w:t>
      </w:r>
      <w:proofErr w:type="spellStart"/>
      <w:r>
        <w:t>некотировальную</w:t>
      </w:r>
      <w:proofErr w:type="spellEnd"/>
      <w:r>
        <w:t xml:space="preserve"> часть Списка ценных бумаг, допущенных к торгам в ПАО Московская Биржа (далее – Третий уровень), с объемом выпуска не более 1 млрд. руб. (применительно для облигаций), без кредитного рейтинга, присвоенного кредитным рейтинговым агентством эмитенту и/или выпуску (далее – Ценные бумаги) (не применимо для облигаций</w:t>
      </w:r>
      <w:proofErr w:type="gramEnd"/>
      <w:r>
        <w:t xml:space="preserve">, по которым предусмотрена финансовая поддержка/гарантия от одного из институтов развития в области поддержки малого и среднего предпринимательства). </w:t>
      </w:r>
    </w:p>
    <w:p w:rsidR="00A50CFF" w:rsidRDefault="00E50143" w:rsidP="00B41AED">
      <w:pPr>
        <w:pStyle w:val="a3"/>
        <w:tabs>
          <w:tab w:val="clear" w:pos="2160"/>
        </w:tabs>
        <w:ind w:left="0" w:firstLine="284"/>
      </w:pPr>
      <w:r>
        <w:t>Инвестиционная деятельность с ценными бумагами, включенными в</w:t>
      </w:r>
      <w:proofErr w:type="gramStart"/>
      <w:r>
        <w:t xml:space="preserve"> Т</w:t>
      </w:r>
      <w:proofErr w:type="gramEnd"/>
      <w:r>
        <w:t xml:space="preserve">ретий уровень, отличается повышенной степенью риска поскольку предполагает включение в указанный уровень листинга ценных бумаг новых небольших компаний, а также компаний, использующих в своей деятельности новые и специфические технологии, научные исследования и пр. </w:t>
      </w:r>
    </w:p>
    <w:p w:rsidR="00A50CFF" w:rsidRDefault="00E50143" w:rsidP="00B41AED">
      <w:pPr>
        <w:pStyle w:val="a3"/>
        <w:tabs>
          <w:tab w:val="clear" w:pos="2160"/>
        </w:tabs>
        <w:ind w:left="0" w:firstLine="284"/>
      </w:pPr>
      <w:r>
        <w:t>Инвестирование в ценные бумаги указанных компаний несет в себе не только рыночный риск инвестиций в ценные бумаги, но и повышенный риск специфической деятельности компании. Указанные компании и их облигационные выпуски не были исследованы кредитными рейтинговыми агентствами, и не имеют оценок их кредитного качества. Совершение сделок с данными ценными бумагами может привести к потере не только ожидаемого дохода от инвестируемых средств, но и к потерям инвестируемых средств.</w:t>
      </w:r>
    </w:p>
    <w:p w:rsidR="00A50CFF" w:rsidRDefault="00E50143" w:rsidP="00B41AED">
      <w:pPr>
        <w:pStyle w:val="a3"/>
        <w:tabs>
          <w:tab w:val="clear" w:pos="2160"/>
        </w:tabs>
        <w:ind w:left="0" w:firstLine="284"/>
      </w:pPr>
      <w:r>
        <w:t xml:space="preserve">Обращаем Ваше внимание на то, что вследствие разнообразия ситуаций, возникающих на рынке ценных бумаг, перечень рисков в настоящей Декларации не является исчерпывающим и не раскрывает информации обо всех рисках, связанных с инвестированием в Ценные бумаги. Инвестированию в ценные бумаги указанных компаний присущи общие риски, связанные с операциями на рынке ценных бумаг, с особенностями, рассмотренными ниже. </w:t>
      </w:r>
    </w:p>
    <w:p w:rsidR="00A50CFF" w:rsidRDefault="00E50143" w:rsidP="00B41AED">
      <w:pPr>
        <w:pStyle w:val="a3"/>
        <w:tabs>
          <w:tab w:val="clear" w:pos="2160"/>
        </w:tabs>
        <w:ind w:left="0" w:firstLine="284"/>
      </w:pPr>
      <w:r>
        <w:t xml:space="preserve">Для целей настоящей Декларации под риском при осуществлении операций на рынке ценных бумаг понимается возможность наступления события, влекущего или могущего повлечь за собой потери Клиентом своих инвестированных активов. </w:t>
      </w:r>
    </w:p>
    <w:p w:rsidR="00A50CFF" w:rsidRDefault="00E50143" w:rsidP="00B41AED">
      <w:pPr>
        <w:pStyle w:val="a3"/>
        <w:tabs>
          <w:tab w:val="clear" w:pos="2160"/>
        </w:tabs>
        <w:ind w:left="0" w:firstLine="284"/>
      </w:pPr>
      <w:r w:rsidRPr="00A50CFF">
        <w:rPr>
          <w:b/>
        </w:rPr>
        <w:t>Риск увеличения затрат на исследование</w:t>
      </w:r>
      <w:r>
        <w:t xml:space="preserve"> </w:t>
      </w:r>
    </w:p>
    <w:p w:rsidR="00A50CFF" w:rsidRDefault="00E50143" w:rsidP="00B41AED">
      <w:pPr>
        <w:pStyle w:val="a3"/>
        <w:tabs>
          <w:tab w:val="clear" w:pos="2160"/>
        </w:tabs>
        <w:ind w:left="0" w:firstLine="284"/>
      </w:pPr>
      <w:r>
        <w:t>В силу того, что компании - эмитенты Ценных бумаг часто работают в «нестандартных» секторах экономики, и на них распространяются облегченные требования к раскрытию информации (в т.ч. финансовой отчетности), что сопряжено с недостатком информационно</w:t>
      </w:r>
      <w:r w:rsidR="00A50CFF">
        <w:t>-</w:t>
      </w:r>
      <w:r>
        <w:t xml:space="preserve">аналитического материала, схем и методов анализа таких компаний. Таким образом, будет достаточно сложно сделать глубокую профессиональную оценку таких компаний и определить перспективы их развития, либо это может сопровождаться увеличением затрат на такое исследование. Отсутствие такой оценки может вызвать затруднения при выборе компании для инвестирования своих активов. </w:t>
      </w:r>
    </w:p>
    <w:p w:rsidR="00A50CFF" w:rsidRDefault="00E50143" w:rsidP="00B41AED">
      <w:pPr>
        <w:pStyle w:val="a3"/>
        <w:tabs>
          <w:tab w:val="clear" w:pos="2160"/>
        </w:tabs>
        <w:ind w:left="0" w:firstLine="284"/>
      </w:pPr>
      <w:r w:rsidRPr="00A50CFF">
        <w:rPr>
          <w:b/>
        </w:rPr>
        <w:t>Риск, связанный с оценкой инвестиционного проекта компании</w:t>
      </w:r>
      <w:r>
        <w:t xml:space="preserve"> </w:t>
      </w:r>
    </w:p>
    <w:p w:rsidR="00A50CFF" w:rsidRDefault="00E50143" w:rsidP="00B41AED">
      <w:pPr>
        <w:pStyle w:val="a3"/>
        <w:tabs>
          <w:tab w:val="clear" w:pos="2160"/>
        </w:tabs>
        <w:ind w:left="0" w:firstLine="284"/>
      </w:pPr>
      <w:proofErr w:type="gramStart"/>
      <w:r>
        <w:t>Одной из целей выхода на фондовой рынок эмитентов Ценных бумаг может быть привлечение дополнительных средств под какой-либо инвестиционный проект, реализация которого, по мнению менеджеров компании, будет способствовать росту ее капитализации.</w:t>
      </w:r>
      <w:proofErr w:type="gramEnd"/>
      <w:r>
        <w:t xml:space="preserve"> Однако в силу специфики развития некоторых секторов экономики, в которых осуществляют свою деятельность данные компании, может сложиться ситуация, при которой сложно будет сформировать профессиональную оценку предлагаемого компанией инвестиционного проекта. </w:t>
      </w:r>
    </w:p>
    <w:p w:rsidR="00A50CFF" w:rsidRDefault="00E50143" w:rsidP="00B41AED">
      <w:pPr>
        <w:pStyle w:val="a3"/>
        <w:tabs>
          <w:tab w:val="clear" w:pos="2160"/>
        </w:tabs>
        <w:ind w:left="0" w:firstLine="284"/>
      </w:pPr>
      <w:r w:rsidRPr="00A50CFF">
        <w:rPr>
          <w:b/>
        </w:rPr>
        <w:t>Финансово-экономические, правовые, политические риски</w:t>
      </w:r>
      <w:r>
        <w:t xml:space="preserve"> </w:t>
      </w:r>
    </w:p>
    <w:p w:rsidR="00A50CFF" w:rsidRDefault="00E50143" w:rsidP="00B41AED">
      <w:pPr>
        <w:pStyle w:val="a3"/>
        <w:tabs>
          <w:tab w:val="clear" w:pos="2160"/>
        </w:tabs>
        <w:ind w:left="0" w:firstLine="284"/>
      </w:pPr>
      <w:r>
        <w:t xml:space="preserve">Небольшие компании – эмитенты Ценных бумаг более зависимы от внешних факторов, в том числе от </w:t>
      </w:r>
      <w:proofErr w:type="spellStart"/>
      <w:proofErr w:type="gramStart"/>
      <w:r>
        <w:t>макро-экономической</w:t>
      </w:r>
      <w:proofErr w:type="spellEnd"/>
      <w:proofErr w:type="gramEnd"/>
      <w:r>
        <w:t xml:space="preserve"> обстановки. Данные компании обладают сравнительно меньшими размерами бизнеса и ресурсами, и, как следствие, меньшей устойчивостью в случае изменения финансово-экономической или правовой ситуации в стране. Риск инновационного решения Эмитенты Ценных бумаг могут входить в т.ч. в инновационный сектор экономики. Это связано с тем, что такие компании стараются осваивать и внедрять новые методы и технологии введения бизнеса, призванные способствовать ее росту и увеличению капитализации. Тем не менее, не всегда инновационные решения имеют консервативный уровень риска. Недостаточная эффективность такого решения может привести к потере времени и инвестированных на внедрение данного решения средств, что негативным образом отразится на финансовом положении компании и стоимости ее акций. Особенностью инновационных компаний является высокая доля нематериальных активов и интеллектуальной собственности в структуре активов компании, что усложняет анализ и прогноз показателей её деятельности. </w:t>
      </w:r>
    </w:p>
    <w:p w:rsidR="00A50CFF" w:rsidRDefault="00E50143" w:rsidP="00B41AED">
      <w:pPr>
        <w:pStyle w:val="a3"/>
        <w:tabs>
          <w:tab w:val="clear" w:pos="2160"/>
        </w:tabs>
        <w:ind w:left="0" w:firstLine="284"/>
      </w:pPr>
      <w:r w:rsidRPr="00A50CFF">
        <w:rPr>
          <w:b/>
        </w:rPr>
        <w:lastRenderedPageBreak/>
        <w:t>Риск низкой ликвидности</w:t>
      </w:r>
      <w:r>
        <w:t xml:space="preserve"> </w:t>
      </w:r>
    </w:p>
    <w:p w:rsidR="00A50CFF" w:rsidRDefault="00E50143" w:rsidP="00B41AED">
      <w:pPr>
        <w:pStyle w:val="a3"/>
        <w:tabs>
          <w:tab w:val="clear" w:pos="2160"/>
        </w:tabs>
        <w:ind w:left="0" w:firstLine="284"/>
      </w:pPr>
      <w:r>
        <w:t xml:space="preserve">Риск ликвидности заключается в изменении оценки ценных бумаг в сторону уменьшения, вплоть до потери ликвидности, в результате чего становится невозможным реализовать ценные бумаги в нужное время по желаемой цене. В силу небольшого объема выпуска и низкой ликвидности ценные бумаги могут иметь большой спрэд. Это означает, что даже правильный прогноз относительно перспектив роста таких активов далеко не всегда позволяет получить прибыль в конкретный момент времени. </w:t>
      </w:r>
    </w:p>
    <w:p w:rsidR="00A50CFF" w:rsidRDefault="00E50143" w:rsidP="00B41AED">
      <w:pPr>
        <w:pStyle w:val="a3"/>
        <w:tabs>
          <w:tab w:val="clear" w:pos="2160"/>
        </w:tabs>
        <w:ind w:left="0" w:firstLine="284"/>
      </w:pPr>
      <w:r w:rsidRPr="00A50CFF">
        <w:rPr>
          <w:b/>
        </w:rPr>
        <w:t>Риск банкротства эмитента</w:t>
      </w:r>
      <w:r>
        <w:t xml:space="preserve"> </w:t>
      </w:r>
    </w:p>
    <w:p w:rsidR="00A50CFF" w:rsidRDefault="00E50143" w:rsidP="00B41AED">
      <w:pPr>
        <w:pStyle w:val="a3"/>
        <w:tabs>
          <w:tab w:val="clear" w:pos="2160"/>
        </w:tabs>
        <w:ind w:left="0" w:firstLine="284"/>
      </w:pPr>
      <w:r>
        <w:t xml:space="preserve">Данный риск заключается в возможности наступления неплатежеспособности компании, что приведет к резкому падению цены и потере ликвидности ценных бумаг компании или невозможности погасить ценные бумаги (в случае с долговыми ценными бумагами). </w:t>
      </w:r>
    </w:p>
    <w:p w:rsidR="00A50CFF" w:rsidRDefault="00E50143" w:rsidP="00B41AED">
      <w:pPr>
        <w:pStyle w:val="a3"/>
        <w:tabs>
          <w:tab w:val="clear" w:pos="2160"/>
        </w:tabs>
        <w:ind w:left="0" w:firstLine="284"/>
      </w:pPr>
      <w:r>
        <w:t xml:space="preserve">Данная Декларация не имеет своей целью отказ потенциальных инвесторов от осуществления операций с Ценными бумагами. Декларация призвана помочь инвестору понять и оценить риски, связанные с инвестированием в такие Ценные бумаги, способствуя тем самым, принятию взвешенных инвестиционных решений. </w:t>
      </w:r>
    </w:p>
    <w:p w:rsidR="00E50143" w:rsidRDefault="00E50143" w:rsidP="00B41AED">
      <w:pPr>
        <w:pStyle w:val="a3"/>
        <w:tabs>
          <w:tab w:val="clear" w:pos="2160"/>
        </w:tabs>
        <w:ind w:left="0" w:firstLine="284"/>
      </w:pPr>
      <w:r>
        <w:t>Учитывая вышеизложенное, рекомендуем внимательно рассмотреть вопрос о том, являются ли риски, возникающие при проведении операций с Ценными бумагами, приемлемыми для инвестора с учетом его инвестиционных целей и финансовых возможностей.</w:t>
      </w:r>
    </w:p>
    <w:p w:rsidR="00A50CFF" w:rsidRDefault="00A50CFF" w:rsidP="00B41AED">
      <w:pPr>
        <w:pStyle w:val="a3"/>
        <w:tabs>
          <w:tab w:val="clear" w:pos="2160"/>
        </w:tabs>
        <w:ind w:left="0" w:firstLine="284"/>
      </w:pPr>
    </w:p>
    <w:p w:rsidR="00A50CFF" w:rsidRDefault="00A50CFF" w:rsidP="00B41AED">
      <w:pPr>
        <w:pStyle w:val="a3"/>
        <w:tabs>
          <w:tab w:val="clear" w:pos="2160"/>
        </w:tabs>
        <w:ind w:left="0" w:firstLine="284"/>
      </w:pPr>
    </w:p>
    <w:p w:rsidR="00A50CFF" w:rsidRDefault="00A50CFF" w:rsidP="00A50CFF">
      <w:pPr>
        <w:rPr>
          <w:rFonts w:ascii="Arial" w:hAnsi="Arial" w:cs="Arial"/>
          <w:sz w:val="20"/>
          <w:szCs w:val="20"/>
        </w:rPr>
      </w:pPr>
      <w:r>
        <w:rPr>
          <w:rFonts w:ascii="Arial" w:hAnsi="Arial" w:cs="Arial"/>
          <w:sz w:val="20"/>
          <w:szCs w:val="20"/>
        </w:rPr>
        <w:t>Подпись Клиента: _____________________________________________________________</w:t>
      </w:r>
    </w:p>
    <w:p w:rsidR="00A50CFF" w:rsidRDefault="00A50CFF" w:rsidP="00A50CFF">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A50CFF" w:rsidRDefault="00A50CFF" w:rsidP="00A50CFF">
      <w:pPr>
        <w:rPr>
          <w:rFonts w:ascii="Arial" w:hAnsi="Arial" w:cs="Arial"/>
          <w:sz w:val="20"/>
          <w:szCs w:val="20"/>
        </w:rPr>
      </w:pPr>
      <w:r>
        <w:rPr>
          <w:rFonts w:ascii="Arial" w:hAnsi="Arial" w:cs="Arial"/>
          <w:sz w:val="20"/>
          <w:szCs w:val="20"/>
        </w:rPr>
        <w:t>Дата:</w:t>
      </w:r>
    </w:p>
    <w:p w:rsidR="00A50CFF" w:rsidRDefault="00A50CFF"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A6CD5" w:rsidRDefault="000A6CD5" w:rsidP="00B41AED">
      <w:pPr>
        <w:pStyle w:val="a3"/>
        <w:tabs>
          <w:tab w:val="clear" w:pos="2160"/>
        </w:tabs>
        <w:ind w:left="0" w:firstLine="284"/>
        <w:rPr>
          <w:rFonts w:ascii="Arial" w:hAnsi="Arial" w:cs="Arial"/>
        </w:rPr>
      </w:pPr>
    </w:p>
    <w:p w:rsidR="00000000" w:rsidRDefault="00411504">
      <w:pPr>
        <w:ind w:firstLine="250"/>
        <w:jc w:val="center"/>
        <w:rPr>
          <w:rFonts w:ascii="Times New Roman" w:hAnsi="Times New Roman"/>
          <w:b/>
        </w:rPr>
      </w:pPr>
      <w:r w:rsidRPr="00411504">
        <w:rPr>
          <w:rFonts w:ascii="Times New Roman" w:hAnsi="Times New Roman"/>
          <w:b/>
        </w:rPr>
        <w:t>Декларация о рисках и правах, связанных с учетом и хранением денежных сре</w:t>
      </w:r>
      <w:proofErr w:type="gramStart"/>
      <w:r w:rsidRPr="00411504">
        <w:rPr>
          <w:rFonts w:ascii="Times New Roman" w:hAnsi="Times New Roman"/>
          <w:b/>
        </w:rPr>
        <w:t>дств Кл</w:t>
      </w:r>
      <w:proofErr w:type="gramEnd"/>
      <w:r w:rsidRPr="00411504">
        <w:rPr>
          <w:rFonts w:ascii="Times New Roman" w:hAnsi="Times New Roman"/>
          <w:b/>
        </w:rPr>
        <w:t>иента, переданных брокеру</w:t>
      </w:r>
    </w:p>
    <w:p w:rsidR="00000000"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Целью изложения в настоящей Декларации потенциальных рисков, которые могут иметь место в связи с оказанием услуг Клиенту, является информирование Клиента о возможности наступления таких рисков, </w:t>
      </w:r>
      <w:proofErr w:type="gramStart"/>
      <w:r w:rsidRPr="00411504">
        <w:rPr>
          <w:rFonts w:ascii="Times New Roman" w:eastAsia="Times New Roman" w:hAnsi="Times New Roman"/>
          <w:sz w:val="20"/>
          <w:szCs w:val="20"/>
          <w:lang w:eastAsia="ru-RU"/>
        </w:rPr>
        <w:t>что</w:t>
      </w:r>
      <w:proofErr w:type="gramEnd"/>
      <w:r w:rsidRPr="00411504">
        <w:rPr>
          <w:rFonts w:ascii="Times New Roman" w:eastAsia="Times New Roman" w:hAnsi="Times New Roman"/>
          <w:sz w:val="20"/>
          <w:szCs w:val="20"/>
          <w:lang w:eastAsia="ru-RU"/>
        </w:rPr>
        <w:t xml:space="preserve"> однако не освобождает Банк от предусмотренной в Регламенте ответственности перед Клиентом, если действия/бездействие Банка привело к неисполнению или несвоевременному исполнению Банком Поручений Клиента или иных обязательств Банка в соответствии с Регламентом.</w:t>
      </w:r>
    </w:p>
    <w:p w:rsidR="00000000"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Денежные средства, передаваемые Клиентом Банку для исполнения и/или обеспечения исполнения обязательств, допущенных к клирингу, будут учитываться Банком на денежном счете (счетах), открытом (открытых) Банком в кредитных организациях вместе с денежными средствами других Клиентов Банка. </w:t>
      </w:r>
      <w:proofErr w:type="gramStart"/>
      <w:r w:rsidRPr="00411504">
        <w:rPr>
          <w:rFonts w:ascii="Times New Roman" w:eastAsia="Times New Roman" w:hAnsi="Times New Roman"/>
          <w:sz w:val="20"/>
          <w:szCs w:val="20"/>
          <w:lang w:eastAsia="ru-RU"/>
        </w:rPr>
        <w:t>Учет денежных средств Клиента на денежном счете вместе с денежными средствами других Клиентов Банка может нести в себе риск задержки возврата Клиенту денежных средств или несвоевременного исполнения Поручения Клиента или неисполнением возникших вследствие исполнения Поручения Клиента обязательств, вызванный ошибочным списанием денежных средств Клиента по поручению другого Клиента Банка в результате допущения операционной ошибки работников Банка или сбоя в работе соответствующего</w:t>
      </w:r>
      <w:proofErr w:type="gramEnd"/>
      <w:r w:rsidRPr="00411504">
        <w:rPr>
          <w:rFonts w:ascii="Times New Roman" w:eastAsia="Times New Roman" w:hAnsi="Times New Roman"/>
          <w:sz w:val="20"/>
          <w:szCs w:val="20"/>
          <w:lang w:eastAsia="ru-RU"/>
        </w:rPr>
        <w:t xml:space="preserve"> программного обеспечения. </w:t>
      </w:r>
    </w:p>
    <w:p w:rsidR="00000000"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Банк, в том числе с целью снижения возможных рисков, ведет раздельный внутренний учет денежных средств и операций с денежными средствами Клиента отдельно от денежных средств и операций с денежными средствами других Клиентов и Банка. В случаях, предусмотренных применимым законодательством, Банк по требованию Клиента открывает отдельный денежный счет для исполнения и/или обеспечения исполнения обязательств, допущенных к клирингу и возникших вследствие исполнения Поручения Клиента. </w:t>
      </w:r>
    </w:p>
    <w:p w:rsidR="00000000" w:rsidRDefault="00411504">
      <w:pPr>
        <w:ind w:firstLine="250"/>
        <w:jc w:val="both"/>
        <w:rPr>
          <w:rFonts w:ascii="Times New Roman" w:eastAsia="Times New Roman" w:hAnsi="Times New Roman"/>
          <w:sz w:val="20"/>
          <w:szCs w:val="20"/>
          <w:lang w:eastAsia="ru-RU"/>
        </w:rPr>
      </w:pPr>
      <w:r w:rsidRPr="00411504">
        <w:rPr>
          <w:rFonts w:ascii="Times New Roman" w:eastAsia="Times New Roman" w:hAnsi="Times New Roman"/>
          <w:sz w:val="20"/>
          <w:szCs w:val="20"/>
          <w:lang w:eastAsia="ru-RU"/>
        </w:rPr>
        <w:t xml:space="preserve">Учитывая вышеизложенное, Банк рекомендует Клиенту внимательно рассмотреть вопрос о том, являются ли риски, возникающие при проведении соответствующих операций, приемлемыми для Клиента с учетом инвестиционных целей и финансовых возможностей последнего. Данная Декларация не имеет своей целью заставить Клиента отказаться от осуществления таких операций, а призвана помочь Клиенту оценить риски. </w:t>
      </w:r>
    </w:p>
    <w:p w:rsidR="000A6CD5" w:rsidRDefault="000A6CD5" w:rsidP="000A6CD5">
      <w:pPr>
        <w:rPr>
          <w:rFonts w:ascii="Times New Roman" w:eastAsia="Times New Roman" w:hAnsi="Times New Roman"/>
          <w:sz w:val="20"/>
          <w:szCs w:val="20"/>
          <w:lang w:eastAsia="ru-RU"/>
        </w:rPr>
      </w:pPr>
    </w:p>
    <w:p w:rsidR="000A6CD5" w:rsidRDefault="000A6CD5" w:rsidP="000A6CD5">
      <w:pPr>
        <w:pStyle w:val="a3"/>
        <w:tabs>
          <w:tab w:val="clear" w:pos="2160"/>
        </w:tabs>
        <w:ind w:left="0" w:firstLine="284"/>
      </w:pPr>
    </w:p>
    <w:p w:rsidR="000A6CD5" w:rsidRDefault="000A6CD5" w:rsidP="000A6CD5">
      <w:pPr>
        <w:rPr>
          <w:rFonts w:ascii="Arial" w:hAnsi="Arial" w:cs="Arial"/>
          <w:sz w:val="20"/>
          <w:szCs w:val="20"/>
        </w:rPr>
      </w:pPr>
      <w:r>
        <w:rPr>
          <w:rFonts w:ascii="Arial" w:hAnsi="Arial" w:cs="Arial"/>
          <w:sz w:val="20"/>
          <w:szCs w:val="20"/>
        </w:rPr>
        <w:t>Подпись Клиента: _____________________________________________________________</w:t>
      </w:r>
    </w:p>
    <w:p w:rsidR="000A6CD5" w:rsidRDefault="000A6CD5" w:rsidP="000A6CD5">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(должность, Ф.И.О.) </w:t>
      </w:r>
      <w:r>
        <w:rPr>
          <w:rFonts w:ascii="Arial" w:hAnsi="Arial" w:cs="Arial"/>
          <w:sz w:val="20"/>
          <w:szCs w:val="20"/>
        </w:rPr>
        <w:tab/>
      </w:r>
      <w:r>
        <w:rPr>
          <w:rFonts w:ascii="Arial" w:hAnsi="Arial" w:cs="Arial"/>
          <w:sz w:val="20"/>
          <w:szCs w:val="20"/>
        </w:rPr>
        <w:tab/>
        <w:t>м.п.</w:t>
      </w:r>
    </w:p>
    <w:p w:rsidR="000A6CD5" w:rsidRDefault="000A6CD5" w:rsidP="000A6CD5">
      <w:pPr>
        <w:rPr>
          <w:rFonts w:ascii="Arial" w:hAnsi="Arial" w:cs="Arial"/>
          <w:sz w:val="20"/>
          <w:szCs w:val="20"/>
        </w:rPr>
      </w:pPr>
      <w:r>
        <w:rPr>
          <w:rFonts w:ascii="Arial" w:hAnsi="Arial" w:cs="Arial"/>
          <w:sz w:val="20"/>
          <w:szCs w:val="20"/>
        </w:rPr>
        <w:t>Дата:</w:t>
      </w:r>
    </w:p>
    <w:p w:rsidR="000A6CD5" w:rsidRPr="000A6CD5" w:rsidRDefault="000A6CD5" w:rsidP="000A6CD5">
      <w:pPr>
        <w:rPr>
          <w:rFonts w:ascii="Times New Roman" w:hAnsi="Times New Roman"/>
        </w:rPr>
      </w:pPr>
    </w:p>
    <w:sectPr w:rsidR="000A6CD5" w:rsidRPr="000A6CD5" w:rsidSect="001D4E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43BCF"/>
    <w:multiLevelType w:val="hybridMultilevel"/>
    <w:tmpl w:val="93104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trackRevisions/>
  <w:defaultTabStop w:val="708"/>
  <w:characterSpacingControl w:val="doNotCompress"/>
  <w:compat/>
  <w:rsids>
    <w:rsidRoot w:val="005B4A61"/>
    <w:rsid w:val="00012458"/>
    <w:rsid w:val="00047E20"/>
    <w:rsid w:val="000A6CD5"/>
    <w:rsid w:val="001D4E2A"/>
    <w:rsid w:val="00254B0A"/>
    <w:rsid w:val="00313232"/>
    <w:rsid w:val="00332E69"/>
    <w:rsid w:val="00390B9D"/>
    <w:rsid w:val="003928C6"/>
    <w:rsid w:val="00411504"/>
    <w:rsid w:val="0049677B"/>
    <w:rsid w:val="00535BD6"/>
    <w:rsid w:val="005B4A61"/>
    <w:rsid w:val="005C139A"/>
    <w:rsid w:val="005C2253"/>
    <w:rsid w:val="006359AF"/>
    <w:rsid w:val="006849EA"/>
    <w:rsid w:val="006D417B"/>
    <w:rsid w:val="006F6A2D"/>
    <w:rsid w:val="00766B73"/>
    <w:rsid w:val="007C4CEA"/>
    <w:rsid w:val="00800C35"/>
    <w:rsid w:val="0082694D"/>
    <w:rsid w:val="008C06AD"/>
    <w:rsid w:val="009227D9"/>
    <w:rsid w:val="009634A4"/>
    <w:rsid w:val="009B3BE1"/>
    <w:rsid w:val="009E3CA9"/>
    <w:rsid w:val="00A34862"/>
    <w:rsid w:val="00A50CFF"/>
    <w:rsid w:val="00AC39D8"/>
    <w:rsid w:val="00B41AED"/>
    <w:rsid w:val="00B64DFB"/>
    <w:rsid w:val="00CE7EA9"/>
    <w:rsid w:val="00E50143"/>
    <w:rsid w:val="00F8548D"/>
    <w:rsid w:val="00FA5F1E"/>
    <w:rsid w:val="00FF4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0A6CD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6C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61"/>
    <w:rPr>
      <w:rFonts w:ascii="Calibri" w:eastAsia="Calibri" w:hAnsi="Calibri" w:cs="Times New Roman"/>
    </w:rPr>
  </w:style>
  <w:style w:type="paragraph" w:styleId="2">
    <w:name w:val="heading 2"/>
    <w:basedOn w:val="a"/>
    <w:next w:val="a"/>
    <w:link w:val="20"/>
    <w:uiPriority w:val="9"/>
    <w:unhideWhenUsed/>
    <w:qFormat/>
    <w:rsid w:val="005B4A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B4A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B4A6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B4A61"/>
    <w:rPr>
      <w:rFonts w:asciiTheme="majorHAnsi" w:eastAsiaTheme="majorEastAsia" w:hAnsiTheme="majorHAnsi" w:cstheme="majorBidi"/>
      <w:b/>
      <w:bCs/>
      <w:color w:val="4F81BD" w:themeColor="accent1"/>
    </w:rPr>
  </w:style>
  <w:style w:type="paragraph" w:styleId="a3">
    <w:name w:val="Body Text"/>
    <w:basedOn w:val="a"/>
    <w:link w:val="a4"/>
    <w:rsid w:val="00B41AED"/>
    <w:pPr>
      <w:keepLines/>
      <w:tabs>
        <w:tab w:val="num" w:pos="2160"/>
      </w:tabs>
      <w:spacing w:before="120" w:after="0" w:line="240" w:lineRule="auto"/>
      <w:ind w:left="2160" w:hanging="180"/>
      <w:jc w:val="both"/>
    </w:pPr>
    <w:rPr>
      <w:rFonts w:ascii="Times New Roman" w:eastAsia="Times New Roman" w:hAnsi="Times New Roman"/>
      <w:sz w:val="20"/>
      <w:szCs w:val="20"/>
      <w:lang w:eastAsia="ru-RU"/>
    </w:rPr>
  </w:style>
  <w:style w:type="character" w:customStyle="1" w:styleId="a4">
    <w:name w:val="Основной текст Знак"/>
    <w:basedOn w:val="a0"/>
    <w:link w:val="a3"/>
    <w:rsid w:val="00B41AE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78855329">
      <w:bodyDiv w:val="1"/>
      <w:marLeft w:val="0"/>
      <w:marRight w:val="0"/>
      <w:marTop w:val="0"/>
      <w:marBottom w:val="0"/>
      <w:divBdr>
        <w:top w:val="none" w:sz="0" w:space="0" w:color="auto"/>
        <w:left w:val="none" w:sz="0" w:space="0" w:color="auto"/>
        <w:bottom w:val="none" w:sz="0" w:space="0" w:color="auto"/>
        <w:right w:val="none" w:sz="0" w:space="0" w:color="auto"/>
      </w:divBdr>
    </w:div>
    <w:div w:id="382364621">
      <w:bodyDiv w:val="1"/>
      <w:marLeft w:val="0"/>
      <w:marRight w:val="0"/>
      <w:marTop w:val="0"/>
      <w:marBottom w:val="0"/>
      <w:divBdr>
        <w:top w:val="none" w:sz="0" w:space="0" w:color="auto"/>
        <w:left w:val="none" w:sz="0" w:space="0" w:color="auto"/>
        <w:bottom w:val="none" w:sz="0" w:space="0" w:color="auto"/>
        <w:right w:val="none" w:sz="0" w:space="0" w:color="auto"/>
      </w:divBdr>
    </w:div>
    <w:div w:id="536626737">
      <w:bodyDiv w:val="1"/>
      <w:marLeft w:val="0"/>
      <w:marRight w:val="0"/>
      <w:marTop w:val="0"/>
      <w:marBottom w:val="0"/>
      <w:divBdr>
        <w:top w:val="none" w:sz="0" w:space="0" w:color="auto"/>
        <w:left w:val="none" w:sz="0" w:space="0" w:color="auto"/>
        <w:bottom w:val="none" w:sz="0" w:space="0" w:color="auto"/>
        <w:right w:val="none" w:sz="0" w:space="0" w:color="auto"/>
      </w:divBdr>
    </w:div>
    <w:div w:id="750156813">
      <w:bodyDiv w:val="1"/>
      <w:marLeft w:val="0"/>
      <w:marRight w:val="0"/>
      <w:marTop w:val="0"/>
      <w:marBottom w:val="0"/>
      <w:divBdr>
        <w:top w:val="none" w:sz="0" w:space="0" w:color="auto"/>
        <w:left w:val="none" w:sz="0" w:space="0" w:color="auto"/>
        <w:bottom w:val="none" w:sz="0" w:space="0" w:color="auto"/>
        <w:right w:val="none" w:sz="0" w:space="0" w:color="auto"/>
      </w:divBdr>
    </w:div>
    <w:div w:id="1037660696">
      <w:bodyDiv w:val="1"/>
      <w:marLeft w:val="0"/>
      <w:marRight w:val="0"/>
      <w:marTop w:val="0"/>
      <w:marBottom w:val="0"/>
      <w:divBdr>
        <w:top w:val="none" w:sz="0" w:space="0" w:color="auto"/>
        <w:left w:val="none" w:sz="0" w:space="0" w:color="auto"/>
        <w:bottom w:val="none" w:sz="0" w:space="0" w:color="auto"/>
        <w:right w:val="none" w:sz="0" w:space="0" w:color="auto"/>
      </w:divBdr>
    </w:div>
    <w:div w:id="1262763485">
      <w:bodyDiv w:val="1"/>
      <w:marLeft w:val="0"/>
      <w:marRight w:val="0"/>
      <w:marTop w:val="0"/>
      <w:marBottom w:val="0"/>
      <w:divBdr>
        <w:top w:val="none" w:sz="0" w:space="0" w:color="auto"/>
        <w:left w:val="none" w:sz="0" w:space="0" w:color="auto"/>
        <w:bottom w:val="none" w:sz="0" w:space="0" w:color="auto"/>
        <w:right w:val="none" w:sz="0" w:space="0" w:color="auto"/>
      </w:divBdr>
    </w:div>
    <w:div w:id="1406297440">
      <w:bodyDiv w:val="1"/>
      <w:marLeft w:val="0"/>
      <w:marRight w:val="0"/>
      <w:marTop w:val="0"/>
      <w:marBottom w:val="0"/>
      <w:divBdr>
        <w:top w:val="none" w:sz="0" w:space="0" w:color="auto"/>
        <w:left w:val="none" w:sz="0" w:space="0" w:color="auto"/>
        <w:bottom w:val="none" w:sz="0" w:space="0" w:color="auto"/>
        <w:right w:val="none" w:sz="0" w:space="0" w:color="auto"/>
      </w:divBdr>
    </w:div>
    <w:div w:id="1694915079">
      <w:bodyDiv w:val="1"/>
      <w:marLeft w:val="0"/>
      <w:marRight w:val="0"/>
      <w:marTop w:val="0"/>
      <w:marBottom w:val="0"/>
      <w:divBdr>
        <w:top w:val="none" w:sz="0" w:space="0" w:color="auto"/>
        <w:left w:val="none" w:sz="0" w:space="0" w:color="auto"/>
        <w:bottom w:val="none" w:sz="0" w:space="0" w:color="auto"/>
        <w:right w:val="none" w:sz="0" w:space="0" w:color="auto"/>
      </w:divBdr>
    </w:div>
    <w:div w:id="188979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6901</Words>
  <Characters>39340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bank</Company>
  <LinksUpToDate>false</LinksUpToDate>
  <CharactersWithSpaces>46149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rykunov</dc:creator>
  <cp:lastModifiedBy>karpakova</cp:lastModifiedBy>
  <cp:revision>3</cp:revision>
  <dcterms:created xsi:type="dcterms:W3CDTF">2022-01-27T09:01:00Z</dcterms:created>
  <dcterms:modified xsi:type="dcterms:W3CDTF">2022-01-27T09:01:00Z</dcterms:modified>
</cp:coreProperties>
</file>